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AF" w:rsidRPr="00E30DA3" w:rsidRDefault="00D16316" w:rsidP="00D16316">
      <w:pPr>
        <w:pStyle w:val="Covertitle"/>
        <w:outlineLvl w:val="0"/>
        <w:rPr>
          <w:sz w:val="80"/>
          <w:szCs w:val="80"/>
        </w:rPr>
      </w:pPr>
      <w:bookmarkStart w:id="0" w:name="_GoBack"/>
      <w:bookmarkEnd w:id="0"/>
      <w:r w:rsidRPr="00D16316">
        <w:rPr>
          <w:sz w:val="80"/>
          <w:szCs w:val="80"/>
        </w:rPr>
        <w:t>Behaviour Support Plan Quality</w:t>
      </w:r>
      <w:r>
        <w:rPr>
          <w:sz w:val="80"/>
          <w:szCs w:val="80"/>
        </w:rPr>
        <w:t xml:space="preserve"> </w:t>
      </w:r>
    </w:p>
    <w:p w:rsidR="00CE4DAF" w:rsidRPr="00F704CE" w:rsidRDefault="00D16316" w:rsidP="00F704CE">
      <w:pPr>
        <w:pStyle w:val="Coversubtitle"/>
      </w:pPr>
      <w:r w:rsidRPr="00D16316">
        <w:t>Summary results to December 2021</w:t>
      </w:r>
      <w:r>
        <w:t xml:space="preserve"> </w:t>
      </w:r>
    </w:p>
    <w:p w:rsidR="00D16316" w:rsidRPr="004359DF" w:rsidRDefault="00D16316" w:rsidP="00D16316">
      <w:pPr>
        <w:pBdr>
          <w:left w:val="single" w:sz="48" w:space="4" w:color="9DC44D" w:themeColor="accent6"/>
        </w:pBdr>
        <w:spacing w:before="0" w:line="240" w:lineRule="auto"/>
        <w:ind w:left="284" w:firstLine="425"/>
        <w:rPr>
          <w:color w:val="FFFFFF" w:themeColor="background1"/>
          <w:sz w:val="40"/>
          <w:szCs w:val="40"/>
        </w:rPr>
        <w:sectPr w:rsidR="00D16316" w:rsidRPr="004359DF" w:rsidSect="00D16316">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pPr>
      <w:r>
        <w:rPr>
          <w:color w:val="FFFFFF" w:themeColor="background1"/>
          <w:sz w:val="40"/>
          <w:szCs w:val="40"/>
        </w:rPr>
        <w:t>16 August 2022</w:t>
      </w:r>
    </w:p>
    <w:p w:rsidR="00077751" w:rsidRPr="00077751" w:rsidRDefault="00077751" w:rsidP="00D16316">
      <w:pPr>
        <w:pStyle w:val="Heading1"/>
      </w:pPr>
      <w:bookmarkStart w:id="1" w:name="_Toc106378865"/>
      <w:r w:rsidRPr="00077751">
        <w:lastRenderedPageBreak/>
        <w:t>Key points</w:t>
      </w:r>
      <w:bookmarkEnd w:id="1"/>
    </w:p>
    <w:p w:rsidR="00077751" w:rsidRPr="00077751" w:rsidRDefault="00077751" w:rsidP="00077751">
      <w:pPr>
        <w:numPr>
          <w:ilvl w:val="0"/>
          <w:numId w:val="34"/>
        </w:numPr>
        <w:tabs>
          <w:tab w:val="num" w:pos="360"/>
        </w:tabs>
        <w:suppressAutoHyphens w:val="0"/>
        <w:spacing w:before="120" w:after="120" w:line="240" w:lineRule="auto"/>
      </w:pPr>
      <w:r w:rsidRPr="00077751">
        <w:t>This report provides a summary of results related to quality evaluations of 2,744 behaviour support plans (BSPs) submitted between 1 July 2020 and 31 December 2021.</w:t>
      </w:r>
    </w:p>
    <w:p w:rsidR="00077751" w:rsidRPr="00077751" w:rsidRDefault="00077751" w:rsidP="00077751">
      <w:pPr>
        <w:numPr>
          <w:ilvl w:val="0"/>
          <w:numId w:val="34"/>
        </w:numPr>
        <w:tabs>
          <w:tab w:val="num" w:pos="360"/>
        </w:tabs>
        <w:suppressAutoHyphens w:val="0"/>
        <w:spacing w:before="120" w:after="120" w:line="240" w:lineRule="auto"/>
      </w:pPr>
      <w:r w:rsidRPr="00077751">
        <w:t xml:space="preserve">Quality evaluations were conducted using the BSP-QEII, a 12-item research-based scoring instrument to rate the quality of a BSP and NDIS Commission Companion Tool that review items associated with the NDIS Restrictive Practices and Behaviour Support Rules 2018. </w:t>
      </w:r>
    </w:p>
    <w:p w:rsidR="00077751" w:rsidRPr="00077751" w:rsidRDefault="00077751" w:rsidP="00077751">
      <w:pPr>
        <w:numPr>
          <w:ilvl w:val="0"/>
          <w:numId w:val="34"/>
        </w:numPr>
        <w:tabs>
          <w:tab w:val="num" w:pos="360"/>
        </w:tabs>
        <w:suppressAutoHyphens w:val="0"/>
        <w:spacing w:before="120" w:after="120" w:line="240" w:lineRule="auto"/>
      </w:pPr>
      <w:r w:rsidRPr="00077751">
        <w:t>The national median score of evaluated plans was 12 out of 24, which falls in the ‘weak’ quality range; 80% of BSPs were scored in the underdeveloped or weak quality categories.</w:t>
      </w:r>
    </w:p>
    <w:p w:rsidR="00077751" w:rsidRPr="00077751" w:rsidRDefault="00077751" w:rsidP="00077751">
      <w:pPr>
        <w:numPr>
          <w:ilvl w:val="0"/>
          <w:numId w:val="34"/>
        </w:numPr>
        <w:tabs>
          <w:tab w:val="num" w:pos="360"/>
        </w:tabs>
        <w:suppressAutoHyphens w:val="0"/>
        <w:spacing w:before="120" w:after="120" w:line="240" w:lineRule="auto"/>
      </w:pPr>
      <w:r w:rsidRPr="00077751">
        <w:t xml:space="preserve">Based on the findings of this audit, </w:t>
      </w:r>
      <w:r w:rsidR="008D603D">
        <w:t>t</w:t>
      </w:r>
      <w:r w:rsidRPr="00077751">
        <w:t>he NDIS Commission is undertaking a series of actions to lift the capability of Behaviour Support Providers and improve the quality of plans.</w:t>
      </w:r>
    </w:p>
    <w:p w:rsidR="00077751" w:rsidRPr="00077751" w:rsidRDefault="00077751" w:rsidP="00077751">
      <w:pPr>
        <w:suppressAutoHyphens w:val="0"/>
        <w:spacing w:before="120" w:after="120" w:line="240" w:lineRule="auto"/>
      </w:pPr>
      <w:r w:rsidRPr="00077751">
        <w:br w:type="page"/>
      </w:r>
    </w:p>
    <w:p w:rsidR="00077751" w:rsidRPr="00077751" w:rsidRDefault="00077751" w:rsidP="00D16316">
      <w:pPr>
        <w:pStyle w:val="Heading1"/>
      </w:pPr>
      <w:bookmarkStart w:id="2" w:name="_Toc106378866"/>
      <w:r w:rsidRPr="00077751">
        <w:lastRenderedPageBreak/>
        <w:t>Introduction</w:t>
      </w:r>
      <w:bookmarkEnd w:id="2"/>
    </w:p>
    <w:p w:rsidR="00077751" w:rsidRPr="00077751" w:rsidRDefault="00077751" w:rsidP="00077751">
      <w:pPr>
        <w:suppressAutoHyphens w:val="0"/>
        <w:spacing w:before="120" w:after="120" w:line="240" w:lineRule="auto"/>
      </w:pPr>
      <w:r w:rsidRPr="00077751">
        <w:t>NDIS Commission behaviour support teams have undertaken a national project to evaluate the quality of lodged comprehensive Behaviour Support Plans (BSPs). A behaviour support plan (BSP) is a document that contains individualised, evidence-based strategies to address the needs of a person identified as having behaviours of concern. For the planned interventions to be successful, a BSP needs to be technically and clinically competent, as well as understandable to those with an interest in i</w:t>
      </w:r>
      <w:r w:rsidRPr="00F635AF">
        <w:t>t</w:t>
      </w:r>
      <w:r w:rsidR="008D603D" w:rsidRPr="00F635AF">
        <w:t>.</w:t>
      </w:r>
    </w:p>
    <w:p w:rsidR="00077751" w:rsidRPr="00077751" w:rsidRDefault="00077751" w:rsidP="00077751">
      <w:pPr>
        <w:suppressAutoHyphens w:val="0"/>
        <w:spacing w:before="120" w:after="120" w:line="240" w:lineRule="auto"/>
      </w:pPr>
      <w:r w:rsidRPr="00077751">
        <w:t>BSP quality evaluations are conducted using the Behaviour Support Plan - Quality Evaluation II</w:t>
      </w:r>
      <w:r w:rsidRPr="00077751">
        <w:rPr>
          <w:vertAlign w:val="superscript"/>
        </w:rPr>
        <w:footnoteReference w:id="1"/>
      </w:r>
      <w:r w:rsidRPr="00077751">
        <w:t xml:space="preserve"> Tool (BSP-QEII) and the NDIS companion tool that includes review items associated with the </w:t>
      </w:r>
      <w:hyperlink r:id="rId12" w:history="1">
        <w:r w:rsidRPr="00077751">
          <w:rPr>
            <w:rStyle w:val="Hyperlink"/>
          </w:rPr>
          <w:t>NDIS (Restrictive Practices and Behaviour Support) Rules 2018</w:t>
        </w:r>
      </w:hyperlink>
      <w:r w:rsidRPr="00077751">
        <w:t>. The BSP-QEII is a 12-item research-based scoring instrument that can be used to rate the quality of a BSP and support the process of behaviour support planning. Plans can be rated on a three-point scale for each of the 12 categories (0, 1 or 2) giving a total score out of 24. Total scores are categorised into the following ranges: Weak (0-12), Underdeveloped (13-16), Good (17-21), and Superior (22-24).</w:t>
      </w:r>
    </w:p>
    <w:p w:rsidR="00077751" w:rsidRPr="00077751" w:rsidRDefault="00077751" w:rsidP="00077751">
      <w:pPr>
        <w:suppressAutoHyphens w:val="0"/>
        <w:spacing w:before="120" w:after="120" w:line="240" w:lineRule="auto"/>
      </w:pPr>
      <w:r w:rsidRPr="00077751">
        <w:t>The companion tool has 19 components (excluding administrative and follow up items), with most items scored as either ‘Yes’, ‘Partial’ or ‘No’. The companion tool captures additional information on BSP quality relating to the areas of consultation, functional behaviour assessment, regulated restrictive practices, implementation and review, and readability.</w:t>
      </w:r>
    </w:p>
    <w:p w:rsidR="00077751" w:rsidRPr="00077751" w:rsidRDefault="00077751" w:rsidP="008D603D">
      <w:pPr>
        <w:suppressAutoHyphens w:val="0"/>
        <w:spacing w:before="120" w:after="120" w:line="240" w:lineRule="auto"/>
      </w:pPr>
      <w:r w:rsidRPr="00077751">
        <w:t>BSP quality evaluations provides the NDIS Commission with objective information in four key areas:</w:t>
      </w:r>
    </w:p>
    <w:tbl>
      <w:tblPr>
        <w:tblStyle w:val="Default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Description w:val="Table showing the objective information the BSP quality evaluations provide. "/>
      </w:tblPr>
      <w:tblGrid>
        <w:gridCol w:w="1843"/>
        <w:gridCol w:w="7183"/>
      </w:tblGrid>
      <w:tr w:rsidR="008D603D" w:rsidRPr="00077751" w:rsidTr="00A02F26">
        <w:trPr>
          <w:cnfStyle w:val="100000000000" w:firstRow="1" w:lastRow="0" w:firstColumn="0" w:lastColumn="0" w:oddVBand="0" w:evenVBand="0" w:oddHBand="0"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404040" w:themeFill="text1" w:themeFillTint="BF"/>
            <w:vAlign w:val="center"/>
          </w:tcPr>
          <w:p w:rsidR="008D603D" w:rsidRPr="008D603D" w:rsidRDefault="006D0100" w:rsidP="006D0100">
            <w:pPr>
              <w:suppressAutoHyphens w:val="0"/>
              <w:spacing w:before="0" w:after="0" w:line="240" w:lineRule="auto"/>
              <w:jc w:val="center"/>
              <w:rPr>
                <w:bCs w:val="0"/>
              </w:rPr>
            </w:pPr>
            <w:r>
              <w:rPr>
                <w:bCs w:val="0"/>
              </w:rPr>
              <w:t>NDIS Framework domains</w:t>
            </w:r>
          </w:p>
        </w:tc>
        <w:tc>
          <w:tcPr>
            <w:tcW w:w="7183" w:type="dxa"/>
            <w:tcBorders>
              <w:top w:val="none" w:sz="0" w:space="0" w:color="auto"/>
              <w:left w:val="none" w:sz="0" w:space="0" w:color="auto"/>
              <w:bottom w:val="none" w:sz="0" w:space="0" w:color="auto"/>
              <w:right w:val="none" w:sz="0" w:space="0" w:color="auto"/>
            </w:tcBorders>
            <w:shd w:val="clear" w:color="auto" w:fill="404040" w:themeFill="text1" w:themeFillTint="BF"/>
            <w:vAlign w:val="center"/>
          </w:tcPr>
          <w:p w:rsidR="00F92436" w:rsidRDefault="00F92436" w:rsidP="006D010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pPr>
          </w:p>
          <w:p w:rsidR="008D603D" w:rsidRPr="008D603D" w:rsidRDefault="00DB6E11" w:rsidP="006D010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pPr>
            <w:r>
              <w:t>I</w:t>
            </w:r>
            <w:r w:rsidR="0077078F">
              <w:t xml:space="preserve">nformation provided by </w:t>
            </w:r>
            <w:r w:rsidR="00F635AF">
              <w:t xml:space="preserve">the </w:t>
            </w:r>
            <w:r w:rsidR="0077078F">
              <w:t>BSP quality evaluations</w:t>
            </w:r>
          </w:p>
        </w:tc>
      </w:tr>
      <w:tr w:rsidR="00077751" w:rsidRPr="00077751" w:rsidTr="008D603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tcPr>
          <w:p w:rsidR="00077751" w:rsidRPr="00D16316" w:rsidRDefault="00077751" w:rsidP="008D603D">
            <w:pPr>
              <w:suppressAutoHyphens w:val="0"/>
              <w:spacing w:before="120" w:after="120" w:line="240" w:lineRule="auto"/>
              <w:jc w:val="center"/>
            </w:pPr>
            <w:r w:rsidRPr="00D16316">
              <w:t>Safeguarding</w:t>
            </w:r>
          </w:p>
        </w:tc>
        <w:tc>
          <w:tcPr>
            <w:tcW w:w="7183" w:type="dxa"/>
            <w:vAlign w:val="center"/>
          </w:tcPr>
          <w:p w:rsidR="00077751" w:rsidRPr="00077751" w:rsidRDefault="00077751" w:rsidP="00D16316">
            <w:pPr>
              <w:numPr>
                <w:ilvl w:val="0"/>
                <w:numId w:val="38"/>
              </w:num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Identification of participant risks for immediate follow up with the practitioner and/or implementing provider (for example: prohibited practices)</w:t>
            </w:r>
          </w:p>
        </w:tc>
      </w:tr>
      <w:tr w:rsidR="008D603D" w:rsidRPr="00077751" w:rsidTr="008D603D">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tcPr>
          <w:p w:rsidR="008D603D" w:rsidRPr="00D16316" w:rsidRDefault="008D603D" w:rsidP="008D603D">
            <w:pPr>
              <w:suppressAutoHyphens w:val="0"/>
              <w:spacing w:before="120" w:after="120" w:line="240" w:lineRule="auto"/>
              <w:jc w:val="center"/>
            </w:pPr>
            <w:r w:rsidRPr="00D16316">
              <w:t>Safeguarding</w:t>
            </w:r>
          </w:p>
        </w:tc>
        <w:tc>
          <w:tcPr>
            <w:tcW w:w="7183" w:type="dxa"/>
            <w:vAlign w:val="center"/>
          </w:tcPr>
          <w:p w:rsidR="008D603D" w:rsidRPr="00077751" w:rsidRDefault="008D603D" w:rsidP="008D603D">
            <w:pPr>
              <w:numPr>
                <w:ilvl w:val="0"/>
                <w:numId w:val="38"/>
              </w:numPr>
              <w:suppressAutoHyphens w:val="0"/>
              <w:spacing w:before="120" w:after="120" w:line="240" w:lineRule="auto"/>
              <w:cnfStyle w:val="000000010000" w:firstRow="0" w:lastRow="0" w:firstColumn="0" w:lastColumn="0" w:oddVBand="0" w:evenVBand="0" w:oddHBand="0" w:evenHBand="1" w:firstRowFirstColumn="0" w:firstRowLastColumn="0" w:lastRowFirstColumn="0" w:lastRowLastColumn="0"/>
            </w:pPr>
            <w:r w:rsidRPr="00077751">
              <w:t>Identification of provider non-compliance with the Restrictive Practice and Behaviour support rules that cannot be obtained through data analysis (for example evidence of functional behaviour assessments or authorisation).</w:t>
            </w:r>
          </w:p>
        </w:tc>
      </w:tr>
      <w:tr w:rsidR="008D603D" w:rsidRPr="00077751" w:rsidTr="008D603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539250" w:themeFill="accent4"/>
            <w:vAlign w:val="center"/>
          </w:tcPr>
          <w:p w:rsidR="008D603D" w:rsidRPr="00D16316" w:rsidRDefault="008D603D" w:rsidP="008D603D">
            <w:pPr>
              <w:suppressAutoHyphens w:val="0"/>
              <w:spacing w:before="120" w:after="120" w:line="240" w:lineRule="auto"/>
              <w:jc w:val="center"/>
            </w:pPr>
            <w:r w:rsidRPr="00D16316">
              <w:t>Quality</w:t>
            </w:r>
          </w:p>
        </w:tc>
        <w:tc>
          <w:tcPr>
            <w:tcW w:w="7183" w:type="dxa"/>
            <w:shd w:val="clear" w:color="auto" w:fill="DAEADA" w:themeFill="accent4" w:themeFillTint="33"/>
            <w:vAlign w:val="center"/>
          </w:tcPr>
          <w:p w:rsidR="008D603D" w:rsidRPr="00077751" w:rsidRDefault="008D603D" w:rsidP="008D603D">
            <w:pPr>
              <w:numPr>
                <w:ilvl w:val="0"/>
                <w:numId w:val="38"/>
              </w:num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Providing targeted feedback to specialist behaviour support providers on the quality of BSPs developed by their practitioners</w:t>
            </w:r>
          </w:p>
        </w:tc>
      </w:tr>
      <w:tr w:rsidR="008D603D" w:rsidRPr="00077751" w:rsidTr="008D603D">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bottom w:val="none" w:sz="0" w:space="0" w:color="auto"/>
            </w:tcBorders>
            <w:shd w:val="clear" w:color="auto" w:fill="539250" w:themeFill="accent4"/>
            <w:vAlign w:val="center"/>
          </w:tcPr>
          <w:p w:rsidR="008D603D" w:rsidRPr="00077751" w:rsidRDefault="008D603D" w:rsidP="008D603D">
            <w:pPr>
              <w:suppressAutoHyphens w:val="0"/>
              <w:spacing w:before="120" w:after="120" w:line="240" w:lineRule="auto"/>
              <w:jc w:val="center"/>
              <w:rPr>
                <w:color w:val="000000" w:themeColor="text1"/>
              </w:rPr>
            </w:pPr>
            <w:r w:rsidRPr="00D16316">
              <w:t>Quality</w:t>
            </w:r>
          </w:p>
        </w:tc>
        <w:tc>
          <w:tcPr>
            <w:tcW w:w="7183" w:type="dxa"/>
            <w:shd w:val="clear" w:color="auto" w:fill="B6D6B5" w:themeFill="accent4" w:themeFillTint="66"/>
            <w:vAlign w:val="center"/>
          </w:tcPr>
          <w:p w:rsidR="008D603D" w:rsidRPr="00077751" w:rsidRDefault="008D603D" w:rsidP="008D603D">
            <w:pPr>
              <w:numPr>
                <w:ilvl w:val="0"/>
                <w:numId w:val="38"/>
              </w:numPr>
              <w:suppressAutoHyphens w:val="0"/>
              <w:spacing w:before="120" w:after="120" w:line="240" w:lineRule="auto"/>
              <w:cnfStyle w:val="000000010000" w:firstRow="0" w:lastRow="0" w:firstColumn="0" w:lastColumn="0" w:oddVBand="0" w:evenVBand="0" w:oddHBand="0" w:evenHBand="1" w:firstRowFirstColumn="0" w:firstRowLastColumn="0" w:lastRowFirstColumn="0" w:lastRowLastColumn="0"/>
            </w:pPr>
            <w:r w:rsidRPr="00077751">
              <w:t>Informs the development practice guidance and educational activities to improve BSP quality and reduce or eliminate restrictive practices.</w:t>
            </w:r>
          </w:p>
        </w:tc>
      </w:tr>
    </w:tbl>
    <w:p w:rsidR="00077751" w:rsidRPr="00077751" w:rsidRDefault="00077751" w:rsidP="00BC0796">
      <w:pPr>
        <w:suppressAutoHyphens w:val="0"/>
        <w:spacing w:before="360" w:after="120" w:line="240" w:lineRule="auto"/>
      </w:pPr>
      <w:r w:rsidRPr="00077751">
        <w:t xml:space="preserve">BSP Quality evaluations are consistent with the NDIS Commission’s behaviour support functions set out in the </w:t>
      </w:r>
      <w:hyperlink r:id="rId13" w:history="1">
        <w:r w:rsidRPr="00077751">
          <w:rPr>
            <w:rStyle w:val="Hyperlink"/>
            <w:i/>
          </w:rPr>
          <w:t>National Disability Insurance Scheme Act 2013</w:t>
        </w:r>
      </w:hyperlink>
      <w:r w:rsidRPr="00077751">
        <w:t xml:space="preserve"> section 181(H) (d) and (e). </w:t>
      </w:r>
    </w:p>
    <w:p w:rsidR="00077751" w:rsidRPr="00077751" w:rsidRDefault="00077751" w:rsidP="00077751">
      <w:pPr>
        <w:suppressAutoHyphens w:val="0"/>
        <w:spacing w:before="120" w:after="120" w:line="240" w:lineRule="auto"/>
      </w:pPr>
      <w:r w:rsidRPr="00077751">
        <w:t xml:space="preserve">BSP Quality Evaluations align with the requirements for providers set out in the </w:t>
      </w:r>
      <w:hyperlink r:id="rId14" w:history="1">
        <w:r w:rsidRPr="00077751">
          <w:rPr>
            <w:rStyle w:val="Hyperlink"/>
          </w:rPr>
          <w:t>NDIS (Restrictive Practices and Behaviour Support) Rules 2018</w:t>
        </w:r>
      </w:hyperlink>
      <w:r w:rsidRPr="00077751">
        <w:t xml:space="preserve">  and </w:t>
      </w:r>
      <w:hyperlink r:id="rId15" w:history="1">
        <w:r w:rsidRPr="00077751">
          <w:rPr>
            <w:rStyle w:val="Hyperlink"/>
          </w:rPr>
          <w:t>NDIS (Quality Indicators) Guidelines 2018</w:t>
        </w:r>
      </w:hyperlink>
      <w:r w:rsidRPr="00077751">
        <w:t>.</w:t>
      </w:r>
      <w:bookmarkStart w:id="3" w:name="_Toc106378867"/>
    </w:p>
    <w:p w:rsidR="00077751" w:rsidRPr="00077751" w:rsidRDefault="00077751" w:rsidP="00D16316">
      <w:pPr>
        <w:pStyle w:val="Heading1"/>
      </w:pPr>
      <w:r w:rsidRPr="00077751">
        <w:lastRenderedPageBreak/>
        <w:t>Results</w:t>
      </w:r>
      <w:bookmarkEnd w:id="3"/>
    </w:p>
    <w:p w:rsidR="00077751" w:rsidRPr="00077751" w:rsidRDefault="00077751" w:rsidP="00077751">
      <w:pPr>
        <w:suppressAutoHyphens w:val="0"/>
        <w:spacing w:before="120" w:after="120" w:line="240" w:lineRule="auto"/>
      </w:pPr>
      <w:r w:rsidRPr="00077751">
        <w:t xml:space="preserve">This report provides a summary of results related to 2,744 BSP quality evaluations lodged </w:t>
      </w:r>
      <w:r w:rsidR="00F92436">
        <w:t xml:space="preserve">between 1 </w:t>
      </w:r>
      <w:r w:rsidRPr="0075250E">
        <w:t>November 2020</w:t>
      </w:r>
      <w:r w:rsidR="00927661">
        <w:t xml:space="preserve"> to 31 December 2021</w:t>
      </w:r>
      <w:r w:rsidRPr="0075250E">
        <w:t>.</w:t>
      </w:r>
    </w:p>
    <w:p w:rsidR="00077751" w:rsidRPr="00077751" w:rsidRDefault="00077751" w:rsidP="00D16316">
      <w:pPr>
        <w:pStyle w:val="Heading3"/>
      </w:pPr>
      <w:bookmarkStart w:id="4" w:name="_Toc106112488"/>
      <w:bookmarkStart w:id="5" w:name="_Toc106378868"/>
      <w:r w:rsidRPr="00077751">
        <w:t>Evaluation by state:</w:t>
      </w:r>
      <w:bookmarkEnd w:id="4"/>
      <w:bookmarkEnd w:id="5"/>
    </w:p>
    <w:tbl>
      <w:tblPr>
        <w:tblStyle w:val="GridTable4-Accent1"/>
        <w:tblW w:w="6794" w:type="dxa"/>
        <w:tblLayout w:type="fixed"/>
        <w:tblLook w:val="04A0" w:firstRow="1" w:lastRow="0" w:firstColumn="1" w:lastColumn="0" w:noHBand="0" w:noVBand="1"/>
        <w:tblDescription w:val="Table showing the number of BSPs evaluation per state/territory and the percentage of the total."/>
      </w:tblPr>
      <w:tblGrid>
        <w:gridCol w:w="1975"/>
        <w:gridCol w:w="2835"/>
        <w:gridCol w:w="1984"/>
      </w:tblGrid>
      <w:tr w:rsidR="00077751" w:rsidRPr="00077751" w:rsidTr="00A02F26">
        <w:trPr>
          <w:cnfStyle w:val="100000000000" w:firstRow="1" w:lastRow="0" w:firstColumn="0" w:lastColumn="0" w:oddVBand="0" w:evenVBand="0" w:oddHBand="0" w:evenHBand="0" w:firstRowFirstColumn="0" w:firstRowLastColumn="0" w:lastRowFirstColumn="0" w:lastRowLastColumn="0"/>
          <w:cantSplit/>
          <w:trHeight w:val="510"/>
          <w:tblHeader/>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State /Territory</w:t>
            </w:r>
          </w:p>
        </w:tc>
        <w:tc>
          <w:tcPr>
            <w:tcW w:w="2835" w:type="dxa"/>
            <w:noWrap/>
            <w:vAlign w:val="center"/>
            <w:hideMark/>
          </w:tcPr>
          <w:p w:rsidR="00077751" w:rsidRPr="00077751" w:rsidRDefault="00077751" w:rsidP="00BC0796">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pPr>
            <w:r w:rsidRPr="00077751">
              <w:t>Number of BSPs evaluated</w:t>
            </w:r>
          </w:p>
        </w:tc>
        <w:tc>
          <w:tcPr>
            <w:tcW w:w="1984" w:type="dxa"/>
            <w:noWrap/>
            <w:vAlign w:val="center"/>
            <w:hideMark/>
          </w:tcPr>
          <w:p w:rsidR="00077751" w:rsidRPr="00077751" w:rsidRDefault="00077751" w:rsidP="00BC0796">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pPr>
            <w:r w:rsidRPr="00077751">
              <w:t>% of total</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ACT</w:t>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46</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1.7</w:t>
            </w:r>
          </w:p>
        </w:tc>
      </w:tr>
      <w:tr w:rsidR="00077751" w:rsidRPr="00077751" w:rsidTr="00E348C6">
        <w:trPr>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NSW</w:t>
            </w:r>
          </w:p>
        </w:tc>
        <w:tc>
          <w:tcPr>
            <w:tcW w:w="2835"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805</w:t>
            </w:r>
          </w:p>
        </w:tc>
        <w:tc>
          <w:tcPr>
            <w:tcW w:w="1984"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29.3</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NT</w:t>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12</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0.4</w:t>
            </w:r>
          </w:p>
        </w:tc>
      </w:tr>
      <w:tr w:rsidR="00077751" w:rsidRPr="00077751" w:rsidTr="00E348C6">
        <w:trPr>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QLD</w:t>
            </w:r>
          </w:p>
        </w:tc>
        <w:tc>
          <w:tcPr>
            <w:tcW w:w="2835"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542</w:t>
            </w:r>
          </w:p>
        </w:tc>
        <w:tc>
          <w:tcPr>
            <w:tcW w:w="1984"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19.7</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SA</w:t>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294</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10.7</w:t>
            </w:r>
          </w:p>
        </w:tc>
      </w:tr>
      <w:tr w:rsidR="00077751" w:rsidRPr="00077751" w:rsidTr="00E348C6">
        <w:trPr>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TAS</w:t>
            </w:r>
          </w:p>
        </w:tc>
        <w:tc>
          <w:tcPr>
            <w:tcW w:w="2835"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38</w:t>
            </w:r>
          </w:p>
        </w:tc>
        <w:tc>
          <w:tcPr>
            <w:tcW w:w="1984"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1.4</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VIC</w:t>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583</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21.2</w:t>
            </w:r>
          </w:p>
        </w:tc>
      </w:tr>
      <w:tr w:rsidR="00077751" w:rsidRPr="00077751" w:rsidTr="00E348C6">
        <w:trPr>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WA</w:t>
            </w:r>
          </w:p>
        </w:tc>
        <w:tc>
          <w:tcPr>
            <w:tcW w:w="2835"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410</w:t>
            </w:r>
          </w:p>
        </w:tc>
        <w:tc>
          <w:tcPr>
            <w:tcW w:w="1984"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14.9</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PBSCF</w:t>
            </w:r>
            <w:r w:rsidRPr="00077751">
              <w:rPr>
                <w:vertAlign w:val="superscript"/>
              </w:rPr>
              <w:footnoteReference w:id="2"/>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13</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0.5</w:t>
            </w:r>
          </w:p>
        </w:tc>
      </w:tr>
      <w:tr w:rsidR="00077751" w:rsidRPr="00077751" w:rsidTr="00E348C6">
        <w:trPr>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Missing state</w:t>
            </w:r>
          </w:p>
        </w:tc>
        <w:tc>
          <w:tcPr>
            <w:tcW w:w="2835"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1</w:t>
            </w:r>
          </w:p>
        </w:tc>
        <w:tc>
          <w:tcPr>
            <w:tcW w:w="1984" w:type="dxa"/>
            <w:noWrap/>
            <w:vAlign w:val="center"/>
            <w:hideMark/>
          </w:tcPr>
          <w:p w:rsidR="00077751" w:rsidRPr="00077751" w:rsidRDefault="00077751" w:rsidP="00BC0796">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077751">
              <w:t>0.0</w:t>
            </w:r>
          </w:p>
        </w:tc>
      </w:tr>
      <w:tr w:rsidR="00077751" w:rsidRPr="00077751" w:rsidTr="00E348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rsidR="00077751" w:rsidRPr="00077751" w:rsidRDefault="00077751" w:rsidP="00BC0796">
            <w:pPr>
              <w:suppressAutoHyphens w:val="0"/>
              <w:spacing w:before="0" w:after="0" w:line="240" w:lineRule="auto"/>
            </w:pPr>
            <w:r w:rsidRPr="00077751">
              <w:t>Total</w:t>
            </w:r>
          </w:p>
        </w:tc>
        <w:tc>
          <w:tcPr>
            <w:tcW w:w="2835"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2,744</w:t>
            </w:r>
          </w:p>
        </w:tc>
        <w:tc>
          <w:tcPr>
            <w:tcW w:w="1984" w:type="dxa"/>
            <w:noWrap/>
            <w:vAlign w:val="center"/>
            <w:hideMark/>
          </w:tcPr>
          <w:p w:rsidR="00077751" w:rsidRPr="00077751" w:rsidRDefault="00077751" w:rsidP="00BC0796">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077751">
              <w:tab/>
              <w:t>100</w:t>
            </w:r>
          </w:p>
        </w:tc>
      </w:tr>
    </w:tbl>
    <w:p w:rsidR="00077751" w:rsidRPr="00077751" w:rsidRDefault="00077751" w:rsidP="00D16316">
      <w:pPr>
        <w:pStyle w:val="Heading2"/>
        <w:spacing w:before="480"/>
      </w:pPr>
      <w:r w:rsidRPr="00077751">
        <w:t>Total BSP-QEII scores</w:t>
      </w:r>
    </w:p>
    <w:p w:rsidR="00077751" w:rsidRPr="00077751" w:rsidRDefault="00077751" w:rsidP="00077751">
      <w:pPr>
        <w:suppressAutoHyphens w:val="0"/>
        <w:spacing w:before="120" w:after="120" w:line="240" w:lineRule="auto"/>
      </w:pPr>
      <w:r w:rsidRPr="00077751">
        <w:t>BSPs considered likely to affect positive change in behaviours of concern and include best practice, score 17 or more out of 24 using the BSP-QEII (within the ‘Good’ or ‘Superior’ ranges). From the current results, only 19.7% (n=538) of BSPs scored 17 or more. The national median score of evaluated plans was 12 out of 24. This falls in the ‘weak’ quality range.</w:t>
      </w:r>
    </w:p>
    <w:p w:rsidR="00077751" w:rsidRPr="00077751" w:rsidRDefault="00077751" w:rsidP="00077751">
      <w:pPr>
        <w:suppressAutoHyphens w:val="0"/>
        <w:spacing w:before="120" w:after="120" w:line="240" w:lineRule="auto"/>
      </w:pPr>
      <w:r w:rsidRPr="00077751">
        <w:t>The national scores break down into the following quality categories:</w:t>
      </w:r>
    </w:p>
    <w:tbl>
      <w:tblPr>
        <w:tblStyle w:val="GridTable4-Accent1"/>
        <w:tblW w:w="4859" w:type="pct"/>
        <w:tblLayout w:type="fixed"/>
        <w:tblLook w:val="00A0" w:firstRow="1" w:lastRow="0" w:firstColumn="1" w:lastColumn="0" w:noHBand="0" w:noVBand="0"/>
        <w:tblDescription w:val="Table showing the number and percentage of BSPs that scored weak, underdeveloped, good, or superior. "/>
      </w:tblPr>
      <w:tblGrid>
        <w:gridCol w:w="2130"/>
        <w:gridCol w:w="1588"/>
        <w:gridCol w:w="1868"/>
        <w:gridCol w:w="1588"/>
        <w:gridCol w:w="1588"/>
      </w:tblGrid>
      <w:tr w:rsidR="00B56E54" w:rsidRPr="00077751" w:rsidTr="0075250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216" w:type="pct"/>
          </w:tcPr>
          <w:p w:rsidR="00077751" w:rsidRPr="00077751" w:rsidRDefault="009C5745" w:rsidP="006D0100">
            <w:pPr>
              <w:suppressAutoHyphens w:val="0"/>
              <w:spacing w:before="120" w:after="120" w:line="240" w:lineRule="auto"/>
              <w:jc w:val="center"/>
            </w:pPr>
            <w:r>
              <w:rPr>
                <w:rFonts w:eastAsia="Times New Roman" w:cstheme="minorHAnsi"/>
                <w:szCs w:val="22"/>
                <w:lang w:eastAsia="en-AU"/>
              </w:rPr>
              <w:t>R</w:t>
            </w:r>
            <w:r w:rsidR="0077078F">
              <w:rPr>
                <w:rFonts w:eastAsia="Times New Roman" w:cstheme="minorHAnsi"/>
                <w:szCs w:val="22"/>
                <w:lang w:eastAsia="en-AU"/>
              </w:rPr>
              <w:t xml:space="preserve">esults of </w:t>
            </w:r>
            <w:r>
              <w:rPr>
                <w:rFonts w:eastAsia="Times New Roman" w:cstheme="minorHAnsi"/>
                <w:szCs w:val="22"/>
                <w:lang w:eastAsia="en-AU"/>
              </w:rPr>
              <w:t xml:space="preserve">the </w:t>
            </w:r>
            <w:r w:rsidR="0077078F">
              <w:rPr>
                <w:rFonts w:eastAsia="Times New Roman" w:cstheme="minorHAnsi"/>
                <w:szCs w:val="22"/>
                <w:lang w:eastAsia="en-AU"/>
              </w:rPr>
              <w:t>BSP quality evaluations</w:t>
            </w:r>
          </w:p>
        </w:tc>
        <w:tc>
          <w:tcPr>
            <w:cnfStyle w:val="000010000000" w:firstRow="0" w:lastRow="0" w:firstColumn="0" w:lastColumn="0" w:oddVBand="1" w:evenVBand="0" w:oddHBand="0" w:evenHBand="0" w:firstRowFirstColumn="0" w:firstRowLastColumn="0" w:lastRowFirstColumn="0" w:lastRowLastColumn="0"/>
            <w:tcW w:w="906" w:type="pct"/>
          </w:tcPr>
          <w:p w:rsidR="00077751" w:rsidRPr="00077751" w:rsidRDefault="00077751" w:rsidP="00077751">
            <w:pPr>
              <w:suppressAutoHyphens w:val="0"/>
              <w:spacing w:before="120" w:after="120" w:line="240" w:lineRule="auto"/>
            </w:pPr>
            <w:r w:rsidRPr="00077751">
              <w:t>Weak</w:t>
            </w:r>
          </w:p>
        </w:tc>
        <w:tc>
          <w:tcPr>
            <w:tcW w:w="1066" w:type="pct"/>
          </w:tcPr>
          <w:p w:rsidR="00077751" w:rsidRPr="00077751" w:rsidRDefault="00077751" w:rsidP="00077751">
            <w:pPr>
              <w:suppressAutoHyphens w:val="0"/>
              <w:spacing w:before="120" w:after="120" w:line="240" w:lineRule="auto"/>
              <w:cnfStyle w:val="100000000000" w:firstRow="1" w:lastRow="0" w:firstColumn="0" w:lastColumn="0" w:oddVBand="0" w:evenVBand="0" w:oddHBand="0" w:evenHBand="0" w:firstRowFirstColumn="0" w:firstRowLastColumn="0" w:lastRowFirstColumn="0" w:lastRowLastColumn="0"/>
            </w:pPr>
            <w:r w:rsidRPr="00077751">
              <w:t>Underdeveloped</w:t>
            </w:r>
          </w:p>
        </w:tc>
        <w:tc>
          <w:tcPr>
            <w:cnfStyle w:val="000010000000" w:firstRow="0" w:lastRow="0" w:firstColumn="0" w:lastColumn="0" w:oddVBand="1" w:evenVBand="0" w:oddHBand="0" w:evenHBand="0" w:firstRowFirstColumn="0" w:firstRowLastColumn="0" w:lastRowFirstColumn="0" w:lastRowLastColumn="0"/>
            <w:tcW w:w="906" w:type="pct"/>
          </w:tcPr>
          <w:p w:rsidR="00077751" w:rsidRPr="00077751" w:rsidRDefault="00077751" w:rsidP="00077751">
            <w:pPr>
              <w:suppressAutoHyphens w:val="0"/>
              <w:spacing w:before="120" w:after="120" w:line="240" w:lineRule="auto"/>
            </w:pPr>
            <w:r w:rsidRPr="00077751">
              <w:t>Good</w:t>
            </w:r>
          </w:p>
        </w:tc>
        <w:tc>
          <w:tcPr>
            <w:tcW w:w="906" w:type="pct"/>
          </w:tcPr>
          <w:p w:rsidR="00077751" w:rsidRPr="00077751" w:rsidRDefault="00077751" w:rsidP="00077751">
            <w:pPr>
              <w:suppressAutoHyphens w:val="0"/>
              <w:spacing w:before="120" w:after="120" w:line="240" w:lineRule="auto"/>
              <w:cnfStyle w:val="100000000000" w:firstRow="1" w:lastRow="0" w:firstColumn="0" w:lastColumn="0" w:oddVBand="0" w:evenVBand="0" w:oddHBand="0" w:evenHBand="0" w:firstRowFirstColumn="0" w:firstRowLastColumn="0" w:lastRowFirstColumn="0" w:lastRowLastColumn="0"/>
            </w:pPr>
            <w:r w:rsidRPr="00077751">
              <w:t>Superior</w:t>
            </w:r>
          </w:p>
        </w:tc>
      </w:tr>
      <w:tr w:rsidR="00B56E54" w:rsidRPr="00077751" w:rsidTr="007525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16" w:type="pct"/>
          </w:tcPr>
          <w:p w:rsidR="00077751" w:rsidRPr="00077751" w:rsidRDefault="00077751" w:rsidP="00077751">
            <w:pPr>
              <w:suppressAutoHyphens w:val="0"/>
              <w:spacing w:before="120" w:after="120" w:line="240" w:lineRule="auto"/>
            </w:pPr>
            <w:r w:rsidRPr="00077751">
              <w:t>National Scores (N=2,732*)</w:t>
            </w:r>
          </w:p>
        </w:tc>
        <w:tc>
          <w:tcPr>
            <w:cnfStyle w:val="000010000000" w:firstRow="0" w:lastRow="0" w:firstColumn="0" w:lastColumn="0" w:oddVBand="1" w:evenVBand="0" w:oddHBand="0" w:evenHBand="0" w:firstRowFirstColumn="0" w:firstRowLastColumn="0" w:lastRowFirstColumn="0" w:lastRowLastColumn="0"/>
            <w:tcW w:w="906" w:type="pct"/>
          </w:tcPr>
          <w:p w:rsidR="00077751" w:rsidRPr="00077751" w:rsidRDefault="00077751" w:rsidP="00077751">
            <w:pPr>
              <w:suppressAutoHyphens w:val="0"/>
              <w:spacing w:before="120" w:after="120" w:line="240" w:lineRule="auto"/>
            </w:pPr>
            <w:r w:rsidRPr="00077751">
              <w:t>1410</w:t>
            </w:r>
          </w:p>
          <w:p w:rsidR="00077751" w:rsidRPr="00077751" w:rsidRDefault="00077751" w:rsidP="00077751">
            <w:pPr>
              <w:suppressAutoHyphens w:val="0"/>
              <w:spacing w:before="120" w:after="120" w:line="240" w:lineRule="auto"/>
            </w:pPr>
            <w:r w:rsidRPr="00077751">
              <w:t>51.6%</w:t>
            </w:r>
          </w:p>
        </w:tc>
        <w:tc>
          <w:tcPr>
            <w:tcW w:w="1066" w:type="pct"/>
          </w:tcPr>
          <w:p w:rsidR="00077751" w:rsidRPr="00077751" w:rsidRDefault="00077751" w:rsidP="00077751">
            <w:p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784</w:t>
            </w:r>
          </w:p>
          <w:p w:rsidR="00077751" w:rsidRPr="00077751" w:rsidRDefault="00077751" w:rsidP="00077751">
            <w:p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28.7%</w:t>
            </w:r>
          </w:p>
        </w:tc>
        <w:tc>
          <w:tcPr>
            <w:cnfStyle w:val="000010000000" w:firstRow="0" w:lastRow="0" w:firstColumn="0" w:lastColumn="0" w:oddVBand="1" w:evenVBand="0" w:oddHBand="0" w:evenHBand="0" w:firstRowFirstColumn="0" w:firstRowLastColumn="0" w:lastRowFirstColumn="0" w:lastRowLastColumn="0"/>
            <w:tcW w:w="906" w:type="pct"/>
          </w:tcPr>
          <w:p w:rsidR="00077751" w:rsidRPr="00077751" w:rsidRDefault="00077751" w:rsidP="00077751">
            <w:pPr>
              <w:suppressAutoHyphens w:val="0"/>
              <w:spacing w:before="120" w:after="120" w:line="240" w:lineRule="auto"/>
            </w:pPr>
            <w:r w:rsidRPr="00077751">
              <w:t>449</w:t>
            </w:r>
          </w:p>
          <w:p w:rsidR="00077751" w:rsidRPr="00077751" w:rsidRDefault="00077751" w:rsidP="00077751">
            <w:pPr>
              <w:suppressAutoHyphens w:val="0"/>
              <w:spacing w:before="120" w:after="120" w:line="240" w:lineRule="auto"/>
            </w:pPr>
            <w:r w:rsidRPr="00077751">
              <w:t>16.4%</w:t>
            </w:r>
          </w:p>
        </w:tc>
        <w:tc>
          <w:tcPr>
            <w:tcW w:w="906" w:type="pct"/>
          </w:tcPr>
          <w:p w:rsidR="00077751" w:rsidRPr="00077751" w:rsidRDefault="00077751" w:rsidP="00077751">
            <w:p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89</w:t>
            </w:r>
          </w:p>
          <w:p w:rsidR="00077751" w:rsidRPr="00077751" w:rsidRDefault="00077751" w:rsidP="00077751">
            <w:pPr>
              <w:suppressAutoHyphens w:val="0"/>
              <w:spacing w:before="120" w:after="120" w:line="240" w:lineRule="auto"/>
              <w:cnfStyle w:val="000000100000" w:firstRow="0" w:lastRow="0" w:firstColumn="0" w:lastColumn="0" w:oddVBand="0" w:evenVBand="0" w:oddHBand="1" w:evenHBand="0" w:firstRowFirstColumn="0" w:firstRowLastColumn="0" w:lastRowFirstColumn="0" w:lastRowLastColumn="0"/>
            </w:pPr>
            <w:r w:rsidRPr="00077751">
              <w:t>3.3%</w:t>
            </w:r>
          </w:p>
        </w:tc>
      </w:tr>
    </w:tbl>
    <w:p w:rsidR="00B56E54" w:rsidRDefault="00B56E54">
      <w:pPr>
        <w:suppressAutoHyphens w:val="0"/>
        <w:spacing w:before="120" w:after="120" w:line="240" w:lineRule="auto"/>
        <w:rPr>
          <w:b/>
        </w:rPr>
      </w:pPr>
      <w:bookmarkStart w:id="6" w:name="_Toc106378869"/>
      <w:r>
        <w:rPr>
          <w:b/>
        </w:rPr>
        <w:br w:type="page"/>
      </w:r>
    </w:p>
    <w:p w:rsidR="00077751" w:rsidRPr="00077751" w:rsidRDefault="00077751" w:rsidP="00BC0796">
      <w:pPr>
        <w:pStyle w:val="Heading2"/>
      </w:pPr>
      <w:r w:rsidRPr="00077751">
        <w:lastRenderedPageBreak/>
        <w:t>BSP-QEII domain</w:t>
      </w:r>
      <w:bookmarkEnd w:id="6"/>
      <w:r w:rsidRPr="00077751">
        <w:t xml:space="preserve"> scores</w:t>
      </w:r>
    </w:p>
    <w:p w:rsidR="00077751" w:rsidRPr="00077751" w:rsidRDefault="00E63F40" w:rsidP="00077751">
      <w:pPr>
        <w:suppressAutoHyphens w:val="0"/>
        <w:spacing w:before="120" w:after="120" w:line="240" w:lineRule="auto"/>
      </w:pPr>
      <w:r>
        <w:t>Behavio</w:t>
      </w:r>
      <w:r w:rsidR="000B38C1">
        <w:t>u</w:t>
      </w:r>
      <w:r w:rsidR="00077751" w:rsidRPr="00077751">
        <w:t>r support plans scored well in domains r</w:t>
      </w:r>
      <w:r w:rsidR="00E7312D">
        <w:t>elated to identifying and analys</w:t>
      </w:r>
      <w:r w:rsidR="006D0100">
        <w:t>ing behavio</w:t>
      </w:r>
      <w:r w:rsidR="000B38C1">
        <w:t>u</w:t>
      </w:r>
      <w:r w:rsidR="00077751" w:rsidRPr="00077751">
        <w:t xml:space="preserve">rs of concern and developing reactive strategies. However, domains </w:t>
      </w:r>
      <w:r w:rsidR="006D0100">
        <w:t xml:space="preserve">such as </w:t>
      </w:r>
      <w:r w:rsidR="00077751" w:rsidRPr="00077751">
        <w:t>relating function to</w:t>
      </w:r>
      <w:r>
        <w:t xml:space="preserve"> replacement behavio</w:t>
      </w:r>
      <w:r w:rsidR="000B38C1">
        <w:t>u</w:t>
      </w:r>
      <w:r w:rsidR="00077751" w:rsidRPr="00077751">
        <w:t>rs, participant skill development and imp</w:t>
      </w:r>
      <w:r>
        <w:t>lementation of positive behavio</w:t>
      </w:r>
      <w:r w:rsidR="000B38C1">
        <w:t>u</w:t>
      </w:r>
      <w:r w:rsidR="00077751" w:rsidRPr="00077751">
        <w:t>r support strategies tended to receive poorer ratings.</w:t>
      </w:r>
    </w:p>
    <w:p w:rsidR="00C36D49" w:rsidRDefault="00077751" w:rsidP="00C36D49">
      <w:pPr>
        <w:keepNext/>
        <w:suppressAutoHyphens w:val="0"/>
        <w:spacing w:before="120" w:after="120" w:line="240" w:lineRule="auto"/>
      </w:pPr>
      <w:r w:rsidRPr="00077751">
        <w:rPr>
          <w:noProof/>
          <w:lang w:eastAsia="en-AU"/>
        </w:rPr>
        <w:drawing>
          <wp:inline distT="0" distB="0" distL="0" distR="0" wp14:anchorId="1DB9063D" wp14:editId="5E312089">
            <wp:extent cx="6177280" cy="4870450"/>
            <wp:effectExtent l="0" t="0" r="13970" b="6350"/>
            <wp:docPr id="33" name="Chart 33" descr="Figure 1: BSP-QEII domain scores in a stacked bar chart. The majority of BSPs scored very low (zero) in domains relating function to communication, and identifying participant goals and objectives. Approximately 80% of BSPs fully addressed domains such as identifying behaviours of concern and predictors of those behaviours, and how environmental factors contribute to behaviours of concern. Refer to full table on page 7.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6D49" w:rsidRPr="009459C4" w:rsidRDefault="00C36D49">
      <w:pPr>
        <w:suppressAutoHyphens w:val="0"/>
        <w:spacing w:before="120" w:after="120" w:line="240" w:lineRule="auto"/>
        <w:rPr>
          <w:rFonts w:asciiTheme="majorHAnsi" w:eastAsiaTheme="majorEastAsia" w:hAnsiTheme="majorHAnsi" w:cstheme="majorBidi"/>
          <w:b/>
          <w:color w:val="auto"/>
          <w:sz w:val="34"/>
          <w:szCs w:val="34"/>
        </w:rPr>
      </w:pPr>
      <w:bookmarkStart w:id="7" w:name="_Recommendations"/>
      <w:bookmarkStart w:id="8" w:name="_Toc106378870"/>
      <w:bookmarkEnd w:id="7"/>
      <w:r w:rsidRPr="009459C4">
        <w:rPr>
          <w:color w:val="auto"/>
        </w:rPr>
        <w:br w:type="page"/>
      </w:r>
    </w:p>
    <w:p w:rsidR="00077751" w:rsidRPr="00077751" w:rsidRDefault="00077751" w:rsidP="00BC0796">
      <w:pPr>
        <w:pStyle w:val="Heading2"/>
      </w:pPr>
      <w:r w:rsidRPr="00077751">
        <w:lastRenderedPageBreak/>
        <w:t>Companion Tool scores</w:t>
      </w:r>
      <w:bookmarkEnd w:id="8"/>
    </w:p>
    <w:p w:rsidR="00077751" w:rsidRPr="00077751" w:rsidRDefault="00077751" w:rsidP="00077751">
      <w:pPr>
        <w:suppressAutoHyphens w:val="0"/>
        <w:spacing w:before="120" w:after="120" w:line="240" w:lineRule="auto"/>
      </w:pPr>
      <w:r w:rsidRPr="00077751">
        <w:t xml:space="preserve">The major area that was not adequately addressed using the companion tool was participant consultation, with only 32% (n=871) of all plans reviewed showed evidence </w:t>
      </w:r>
      <w:r w:rsidR="00493D6F">
        <w:t xml:space="preserve">of consultation with </w:t>
      </w:r>
      <w:r w:rsidRPr="00077751">
        <w:t>the person with disability.</w:t>
      </w:r>
    </w:p>
    <w:p w:rsidR="0050052E" w:rsidRDefault="00077751" w:rsidP="0050052E">
      <w:pPr>
        <w:keepNext/>
        <w:suppressAutoHyphens w:val="0"/>
        <w:spacing w:before="120" w:after="120" w:line="240" w:lineRule="auto"/>
      </w:pPr>
      <w:r w:rsidRPr="00077751">
        <w:rPr>
          <w:noProof/>
          <w:lang w:eastAsia="en-AU"/>
        </w:rPr>
        <w:drawing>
          <wp:inline distT="0" distB="0" distL="0" distR="0" wp14:anchorId="1DBA0176" wp14:editId="03D6CF9B">
            <wp:extent cx="6177280" cy="4686300"/>
            <wp:effectExtent l="0" t="0" r="13970" b="0"/>
            <wp:docPr id="42" name="Chart 42" descr="Figure 2: Companion Tool scores in a stacked bar chart. Almost 70% of BSPs did not involve consultation with the person with disability, or there was evidence of discrepancies within the plan. The domains that tended to score the highest were:  showing evidence of a completed functional behaviour assessment, or a protocol for the use of all restrictive practices was provided . Refer to full table on page 8.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7751" w:rsidRPr="00077751" w:rsidRDefault="00077751" w:rsidP="00BC0796">
      <w:pPr>
        <w:pStyle w:val="Heading1"/>
      </w:pPr>
      <w:bookmarkStart w:id="9" w:name="_Toc106378871"/>
      <w:bookmarkStart w:id="10" w:name="_Toc96441135"/>
      <w:r w:rsidRPr="00077751">
        <w:t>Current initiatives aimed at improving the quality of BSPs</w:t>
      </w:r>
      <w:bookmarkEnd w:id="9"/>
    </w:p>
    <w:p w:rsidR="00627AC5" w:rsidRDefault="00077751" w:rsidP="00077751">
      <w:pPr>
        <w:suppressAutoHyphens w:val="0"/>
        <w:spacing w:before="120" w:after="120" w:line="240" w:lineRule="auto"/>
      </w:pPr>
      <w:r w:rsidRPr="00077751">
        <w:t>The NDIS Commission is undertaking a series of actions to lift the capability of Behaviour Support Providers and improve the quality of plans.</w:t>
      </w:r>
      <w:bookmarkEnd w:id="10"/>
    </w:p>
    <w:p w:rsidR="00627AC5" w:rsidRDefault="00627AC5">
      <w:pPr>
        <w:suppressAutoHyphens w:val="0"/>
        <w:spacing w:before="120" w:after="120" w:line="240" w:lineRule="auto"/>
      </w:pPr>
      <w:r>
        <w:br w:type="page"/>
      </w:r>
    </w:p>
    <w:p w:rsidR="00077751" w:rsidRDefault="00627AC5" w:rsidP="00627AC5">
      <w:pPr>
        <w:pStyle w:val="Heading1"/>
      </w:pPr>
      <w:r>
        <w:lastRenderedPageBreak/>
        <w:t>Appendix:</w:t>
      </w:r>
    </w:p>
    <w:p w:rsidR="00627AC5" w:rsidRPr="00627AC5" w:rsidRDefault="00627AC5" w:rsidP="00627AC5">
      <w:pPr>
        <w:pStyle w:val="Heading2"/>
      </w:pPr>
      <w:r w:rsidRPr="006D7310">
        <w:t>BSP-QEII domain</w:t>
      </w:r>
      <w:r>
        <w:t xml:space="preserve"> scores table </w:t>
      </w:r>
    </w:p>
    <w:tbl>
      <w:tblPr>
        <w:tblStyle w:val="GridTable5Dark-Accent1"/>
        <w:tblW w:w="8391" w:type="dxa"/>
        <w:tblBorders>
          <w:top w:val="single" w:sz="4" w:space="0" w:color="5F2E74"/>
          <w:left w:val="single" w:sz="4" w:space="0" w:color="5F2E74"/>
          <w:bottom w:val="single" w:sz="4" w:space="0" w:color="5F2E74"/>
          <w:right w:val="single" w:sz="4" w:space="0" w:color="5F2E74"/>
          <w:insideH w:val="single" w:sz="4" w:space="0" w:color="5F2E74"/>
          <w:insideV w:val="single" w:sz="4" w:space="0" w:color="5F2E74"/>
        </w:tblBorders>
        <w:tblLook w:val="0420" w:firstRow="1" w:lastRow="0" w:firstColumn="0" w:lastColumn="0" w:noHBand="0" w:noVBand="1"/>
        <w:tblDescription w:val="The domains of communication, and setting goals and objectives tended to have the lowest scores, while the identification and predictors of behaviours scored higher overall. "/>
      </w:tblPr>
      <w:tblGrid>
        <w:gridCol w:w="4989"/>
        <w:gridCol w:w="1155"/>
        <w:gridCol w:w="1155"/>
        <w:gridCol w:w="1155"/>
      </w:tblGrid>
      <w:tr w:rsidR="00D8625B" w:rsidRPr="00627AC5" w:rsidTr="00011B58">
        <w:trPr>
          <w:cnfStyle w:val="100000000000" w:firstRow="1" w:lastRow="0" w:firstColumn="0" w:lastColumn="0" w:oddVBand="0" w:evenVBand="0" w:oddHBand="0" w:evenHBand="0" w:firstRowFirstColumn="0" w:firstRowLastColumn="0" w:lastRowFirstColumn="0" w:lastRowLastColumn="0"/>
          <w:trHeight w:val="454"/>
          <w:tblHeader/>
        </w:trPr>
        <w:tc>
          <w:tcPr>
            <w:tcW w:w="4989" w:type="dxa"/>
            <w:tcBorders>
              <w:top w:val="none" w:sz="0" w:space="0" w:color="auto"/>
              <w:left w:val="none" w:sz="0" w:space="0" w:color="auto"/>
              <w:right w:val="none" w:sz="0" w:space="0" w:color="auto"/>
            </w:tcBorders>
            <w:noWrap/>
            <w:vAlign w:val="center"/>
            <w:hideMark/>
          </w:tcPr>
          <w:p w:rsidR="00627AC5" w:rsidRPr="00627AC5" w:rsidRDefault="00276278" w:rsidP="009F7C83">
            <w:pPr>
              <w:suppressAutoHyphens w:val="0"/>
              <w:spacing w:before="0" w:after="0" w:line="240" w:lineRule="auto"/>
              <w:jc w:val="center"/>
              <w:rPr>
                <w:rFonts w:eastAsia="Times New Roman" w:cstheme="minorHAnsi"/>
                <w:szCs w:val="22"/>
                <w:lang w:eastAsia="en-AU"/>
              </w:rPr>
            </w:pPr>
            <w:r>
              <w:rPr>
                <w:rFonts w:eastAsia="Times New Roman" w:cstheme="minorHAnsi"/>
                <w:szCs w:val="22"/>
                <w:lang w:eastAsia="en-AU"/>
              </w:rPr>
              <w:t xml:space="preserve">Domains of </w:t>
            </w:r>
            <w:r w:rsidR="009F7C83">
              <w:rPr>
                <w:rFonts w:eastAsia="Times New Roman" w:cstheme="minorHAnsi"/>
                <w:szCs w:val="22"/>
                <w:lang w:eastAsia="en-AU"/>
              </w:rPr>
              <w:t xml:space="preserve">the </w:t>
            </w:r>
            <w:r>
              <w:rPr>
                <w:rFonts w:eastAsia="Times New Roman" w:cstheme="minorHAnsi"/>
                <w:szCs w:val="22"/>
                <w:lang w:eastAsia="en-AU"/>
              </w:rPr>
              <w:t>BSP-QEII</w:t>
            </w:r>
          </w:p>
        </w:tc>
        <w:tc>
          <w:tcPr>
            <w:tcW w:w="1134" w:type="dxa"/>
            <w:tcBorders>
              <w:top w:val="none" w:sz="0" w:space="0" w:color="auto"/>
              <w:left w:val="none" w:sz="0" w:space="0" w:color="auto"/>
              <w:right w:val="none" w:sz="0" w:space="0" w:color="auto"/>
            </w:tcBorders>
            <w:noWrap/>
            <w:vAlign w:val="center"/>
            <w:hideMark/>
          </w:tcPr>
          <w:p w:rsidR="00627AC5" w:rsidRPr="00627AC5" w:rsidRDefault="004F66A9" w:rsidP="004F66A9">
            <w:pPr>
              <w:suppressAutoHyphens w:val="0"/>
              <w:spacing w:before="0" w:after="0" w:line="240" w:lineRule="auto"/>
              <w:rPr>
                <w:rFonts w:ascii="Calibri" w:eastAsia="Times New Roman" w:hAnsi="Calibri" w:cs="Calibri"/>
                <w:szCs w:val="22"/>
                <w:lang w:eastAsia="en-AU"/>
              </w:rPr>
            </w:pPr>
            <w:r>
              <w:rPr>
                <w:rFonts w:ascii="Calibri" w:eastAsia="Times New Roman" w:hAnsi="Calibri" w:cs="Calibri"/>
                <w:szCs w:val="22"/>
                <w:lang w:eastAsia="en-AU"/>
              </w:rPr>
              <w:t>Not addressed (</w:t>
            </w:r>
            <w:r w:rsidR="002947A7">
              <w:rPr>
                <w:rFonts w:ascii="Calibri" w:eastAsia="Times New Roman" w:hAnsi="Calibri" w:cs="Calibri"/>
                <w:szCs w:val="22"/>
                <w:lang w:eastAsia="en-AU"/>
              </w:rPr>
              <w:t>%)</w:t>
            </w:r>
          </w:p>
        </w:tc>
        <w:tc>
          <w:tcPr>
            <w:tcW w:w="1134" w:type="dxa"/>
            <w:tcBorders>
              <w:top w:val="none" w:sz="0" w:space="0" w:color="auto"/>
              <w:left w:val="none" w:sz="0" w:space="0" w:color="auto"/>
              <w:right w:val="none" w:sz="0" w:space="0" w:color="auto"/>
            </w:tcBorders>
            <w:noWrap/>
            <w:vAlign w:val="center"/>
            <w:hideMark/>
          </w:tcPr>
          <w:p w:rsidR="00627AC5" w:rsidRPr="00627AC5" w:rsidRDefault="004F66A9" w:rsidP="004F66A9">
            <w:pPr>
              <w:suppressAutoHyphens w:val="0"/>
              <w:spacing w:before="0" w:after="0" w:line="240" w:lineRule="auto"/>
              <w:rPr>
                <w:rFonts w:ascii="Calibri" w:eastAsia="Times New Roman" w:hAnsi="Calibri" w:cs="Calibri"/>
                <w:szCs w:val="22"/>
                <w:lang w:eastAsia="en-AU"/>
              </w:rPr>
            </w:pPr>
            <w:r>
              <w:rPr>
                <w:rFonts w:ascii="Calibri" w:eastAsia="Times New Roman" w:hAnsi="Calibri" w:cs="Calibri"/>
                <w:szCs w:val="22"/>
                <w:lang w:eastAsia="en-AU"/>
              </w:rPr>
              <w:t>Partially addressed (</w:t>
            </w:r>
            <w:r w:rsidR="002947A7">
              <w:rPr>
                <w:rFonts w:ascii="Calibri" w:eastAsia="Times New Roman" w:hAnsi="Calibri" w:cs="Calibri"/>
                <w:szCs w:val="22"/>
                <w:lang w:eastAsia="en-AU"/>
              </w:rPr>
              <w:t>%)</w:t>
            </w:r>
          </w:p>
        </w:tc>
        <w:tc>
          <w:tcPr>
            <w:tcW w:w="1134" w:type="dxa"/>
            <w:tcBorders>
              <w:top w:val="none" w:sz="0" w:space="0" w:color="auto"/>
              <w:left w:val="none" w:sz="0" w:space="0" w:color="auto"/>
              <w:right w:val="none" w:sz="0" w:space="0" w:color="auto"/>
            </w:tcBorders>
            <w:noWrap/>
            <w:vAlign w:val="center"/>
            <w:hideMark/>
          </w:tcPr>
          <w:p w:rsidR="00627AC5" w:rsidRPr="00627AC5" w:rsidRDefault="004F66A9" w:rsidP="004F66A9">
            <w:pPr>
              <w:suppressAutoHyphens w:val="0"/>
              <w:spacing w:before="0" w:after="0" w:line="240" w:lineRule="auto"/>
              <w:rPr>
                <w:rFonts w:ascii="Calibri" w:eastAsia="Times New Roman" w:hAnsi="Calibri" w:cs="Calibri"/>
                <w:szCs w:val="22"/>
                <w:lang w:eastAsia="en-AU"/>
              </w:rPr>
            </w:pPr>
            <w:r>
              <w:rPr>
                <w:rFonts w:ascii="Calibri" w:eastAsia="Times New Roman" w:hAnsi="Calibri" w:cs="Calibri"/>
                <w:szCs w:val="22"/>
                <w:lang w:eastAsia="en-AU"/>
              </w:rPr>
              <w:t>Fully addressed (</w:t>
            </w:r>
            <w:r w:rsidR="002947A7">
              <w:rPr>
                <w:rFonts w:ascii="Calibri" w:eastAsia="Times New Roman" w:hAnsi="Calibri" w:cs="Calibri"/>
                <w:szCs w:val="22"/>
                <w:lang w:eastAsia="en-AU"/>
              </w:rPr>
              <w:t>%)</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Problem Behaviour</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1.5</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18.8</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79.6</w:t>
            </w:r>
          </w:p>
        </w:tc>
      </w:tr>
      <w:tr w:rsidR="00D8625B" w:rsidRPr="00627AC5" w:rsidTr="00011B58">
        <w:trPr>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Predictors of Behavio</w:t>
            </w:r>
            <w:r w:rsidR="008C38CC" w:rsidRPr="009459C4">
              <w:rPr>
                <w:rFonts w:ascii="Calibri" w:eastAsia="Times New Roman" w:hAnsi="Calibri" w:cs="Calibri"/>
                <w:color w:val="auto"/>
                <w:szCs w:val="22"/>
                <w:lang w:eastAsia="en-AU"/>
              </w:rPr>
              <w:t>u</w:t>
            </w:r>
            <w:r w:rsidRPr="009459C4">
              <w:rPr>
                <w:rFonts w:ascii="Calibri" w:eastAsia="Times New Roman" w:hAnsi="Calibri" w:cs="Calibri"/>
                <w:color w:val="auto"/>
                <w:szCs w:val="22"/>
                <w:lang w:eastAsia="en-AU"/>
              </w:rPr>
              <w:t>r</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3.7</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13.5</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82.8</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Analy</w:t>
            </w:r>
            <w:r w:rsidR="00E7312D" w:rsidRPr="009459C4">
              <w:rPr>
                <w:rFonts w:ascii="Calibri" w:eastAsia="Times New Roman" w:hAnsi="Calibri" w:cs="Calibri"/>
                <w:color w:val="auto"/>
                <w:szCs w:val="22"/>
                <w:lang w:eastAsia="en-AU"/>
              </w:rPr>
              <w:t>sis</w:t>
            </w:r>
            <w:r w:rsidR="00276278" w:rsidRPr="009459C4">
              <w:rPr>
                <w:rFonts w:ascii="Calibri" w:eastAsia="Times New Roman" w:hAnsi="Calibri" w:cs="Calibri"/>
                <w:color w:val="auto"/>
                <w:szCs w:val="22"/>
                <w:lang w:eastAsia="en-AU"/>
              </w:rPr>
              <w:t xml:space="preserve"> of </w:t>
            </w:r>
            <w:r w:rsidR="00E7312D" w:rsidRPr="009459C4">
              <w:rPr>
                <w:rFonts w:ascii="Calibri" w:eastAsia="Times New Roman" w:hAnsi="Calibri" w:cs="Calibri"/>
                <w:color w:val="auto"/>
                <w:szCs w:val="22"/>
                <w:lang w:eastAsia="en-AU"/>
              </w:rPr>
              <w:t>Factors</w:t>
            </w:r>
            <w:r w:rsidRPr="009459C4">
              <w:rPr>
                <w:rFonts w:ascii="Calibri" w:eastAsia="Times New Roman" w:hAnsi="Calibri" w:cs="Calibri"/>
                <w:color w:val="auto"/>
                <w:szCs w:val="22"/>
                <w:lang w:eastAsia="en-AU"/>
              </w:rPr>
              <w:t xml:space="preserve"> Supporting Problem Behavio</w:t>
            </w:r>
            <w:r w:rsidR="00E7312D" w:rsidRPr="009459C4">
              <w:rPr>
                <w:rFonts w:ascii="Calibri" w:eastAsia="Times New Roman" w:hAnsi="Calibri" w:cs="Calibri"/>
                <w:color w:val="auto"/>
                <w:szCs w:val="22"/>
                <w:lang w:eastAsia="en-AU"/>
              </w:rPr>
              <w:t>u</w:t>
            </w:r>
            <w:r w:rsidRPr="009459C4">
              <w:rPr>
                <w:rFonts w:ascii="Calibri" w:eastAsia="Times New Roman" w:hAnsi="Calibri" w:cs="Calibri"/>
                <w:color w:val="auto"/>
                <w:szCs w:val="22"/>
                <w:lang w:eastAsia="en-AU"/>
              </w:rPr>
              <w:t>r</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12.7</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19.9</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67.4</w:t>
            </w:r>
          </w:p>
        </w:tc>
      </w:tr>
      <w:tr w:rsidR="00D8625B" w:rsidRPr="00627AC5" w:rsidTr="00011B58">
        <w:trPr>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Environmental Changes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10.2</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13</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76.7</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Predictors Related to Function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34.8</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12.7</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52.5</w:t>
            </w:r>
          </w:p>
        </w:tc>
      </w:tr>
      <w:tr w:rsidR="00D8625B" w:rsidRPr="00627AC5" w:rsidTr="00011B58">
        <w:trPr>
          <w:trHeight w:val="454"/>
        </w:trPr>
        <w:tc>
          <w:tcPr>
            <w:tcW w:w="4989" w:type="dxa"/>
            <w:noWrap/>
            <w:vAlign w:val="center"/>
            <w:hideMark/>
          </w:tcPr>
          <w:p w:rsidR="00627AC5" w:rsidRPr="009459C4" w:rsidRDefault="009459C4"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Pr>
                <w:rFonts w:ascii="Calibri" w:eastAsia="Times New Roman" w:hAnsi="Calibri" w:cs="Calibri"/>
                <w:color w:val="auto"/>
                <w:szCs w:val="22"/>
                <w:lang w:eastAsia="en-AU"/>
              </w:rPr>
              <w:t>F</w:t>
            </w:r>
            <w:r w:rsidR="00627AC5" w:rsidRPr="009459C4">
              <w:rPr>
                <w:rFonts w:ascii="Calibri" w:eastAsia="Times New Roman" w:hAnsi="Calibri" w:cs="Calibri"/>
                <w:color w:val="auto"/>
                <w:szCs w:val="22"/>
                <w:lang w:eastAsia="en-AU"/>
              </w:rPr>
              <w:t>unction Related to Replacement Behavio</w:t>
            </w:r>
            <w:r w:rsidR="00E7312D" w:rsidRPr="009459C4">
              <w:rPr>
                <w:rFonts w:ascii="Calibri" w:eastAsia="Times New Roman" w:hAnsi="Calibri" w:cs="Calibri"/>
                <w:color w:val="auto"/>
                <w:szCs w:val="22"/>
                <w:lang w:eastAsia="en-AU"/>
              </w:rPr>
              <w:t>u</w:t>
            </w:r>
            <w:r w:rsidR="00627AC5" w:rsidRPr="009459C4">
              <w:rPr>
                <w:rFonts w:ascii="Calibri" w:eastAsia="Times New Roman" w:hAnsi="Calibri" w:cs="Calibri"/>
                <w:color w:val="auto"/>
                <w:szCs w:val="22"/>
                <w:lang w:eastAsia="en-AU"/>
              </w:rPr>
              <w:t>rs</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66.8</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0</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33.2</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Teaching Strategies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21.2</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58.2</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20.6</w:t>
            </w:r>
          </w:p>
        </w:tc>
      </w:tr>
      <w:tr w:rsidR="00D8625B" w:rsidRPr="00627AC5" w:rsidTr="00011B58">
        <w:trPr>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Reinforcement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69.7</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20.7</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9.6</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Reactive Strategies</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10.9</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29</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60</w:t>
            </w:r>
          </w:p>
        </w:tc>
      </w:tr>
      <w:tr w:rsidR="00D8625B" w:rsidRPr="00627AC5" w:rsidTr="00011B58">
        <w:trPr>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Goals and Objectives</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80.9</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11.4</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7.7</w:t>
            </w:r>
          </w:p>
        </w:tc>
      </w:tr>
      <w:tr w:rsidR="00D8625B" w:rsidRPr="00627AC5" w:rsidTr="00011B58">
        <w:trPr>
          <w:cnfStyle w:val="000000100000" w:firstRow="0" w:lastRow="0" w:firstColumn="0" w:lastColumn="0" w:oddVBand="0" w:evenVBand="0" w:oddHBand="1" w:evenHBand="0" w:firstRowFirstColumn="0" w:firstRowLastColumn="0" w:lastRowFirstColumn="0" w:lastRowLastColumn="0"/>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Team Coordination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41</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47.3</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11.7</w:t>
            </w:r>
          </w:p>
        </w:tc>
      </w:tr>
      <w:tr w:rsidR="00D8625B" w:rsidRPr="00627AC5" w:rsidTr="00011B58">
        <w:trPr>
          <w:trHeight w:val="454"/>
        </w:trPr>
        <w:tc>
          <w:tcPr>
            <w:tcW w:w="4989" w:type="dxa"/>
            <w:noWrap/>
            <w:vAlign w:val="center"/>
            <w:hideMark/>
          </w:tcPr>
          <w:p w:rsidR="00627AC5" w:rsidRPr="009459C4" w:rsidRDefault="00627AC5" w:rsidP="009459C4">
            <w:pPr>
              <w:pStyle w:val="ListParagraph"/>
              <w:numPr>
                <w:ilvl w:val="0"/>
                <w:numId w:val="40"/>
              </w:numPr>
              <w:suppressAutoHyphens w:val="0"/>
              <w:spacing w:before="0" w:after="0" w:line="240" w:lineRule="auto"/>
              <w:ind w:left="599" w:hanging="425"/>
              <w:rPr>
                <w:rFonts w:ascii="Calibri" w:eastAsia="Times New Roman" w:hAnsi="Calibri" w:cs="Calibri"/>
                <w:color w:val="auto"/>
                <w:szCs w:val="22"/>
                <w:lang w:eastAsia="en-AU"/>
              </w:rPr>
            </w:pPr>
            <w:r w:rsidRPr="009459C4">
              <w:rPr>
                <w:rFonts w:ascii="Calibri" w:eastAsia="Times New Roman" w:hAnsi="Calibri" w:cs="Calibri"/>
                <w:color w:val="auto"/>
                <w:szCs w:val="22"/>
                <w:lang w:eastAsia="en-AU"/>
              </w:rPr>
              <w:t xml:space="preserve">Communication </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86.1</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9.6</w:t>
            </w:r>
          </w:p>
        </w:tc>
        <w:tc>
          <w:tcPr>
            <w:tcW w:w="1134" w:type="dxa"/>
            <w:noWrap/>
            <w:vAlign w:val="center"/>
            <w:hideMark/>
          </w:tcPr>
          <w:p w:rsidR="00627AC5" w:rsidRPr="00627AC5" w:rsidRDefault="00627AC5" w:rsidP="00D8625B">
            <w:pPr>
              <w:suppressAutoHyphens w:val="0"/>
              <w:spacing w:before="0" w:after="0" w:line="240" w:lineRule="auto"/>
              <w:jc w:val="right"/>
              <w:rPr>
                <w:rFonts w:ascii="Calibri" w:eastAsia="Times New Roman" w:hAnsi="Calibri" w:cs="Calibri"/>
                <w:color w:val="auto"/>
                <w:szCs w:val="22"/>
                <w:lang w:eastAsia="en-AU"/>
              </w:rPr>
            </w:pPr>
            <w:r w:rsidRPr="00627AC5">
              <w:rPr>
                <w:rFonts w:ascii="Calibri" w:eastAsia="Times New Roman" w:hAnsi="Calibri" w:cs="Calibri"/>
                <w:color w:val="auto"/>
                <w:szCs w:val="22"/>
                <w:lang w:eastAsia="en-AU"/>
              </w:rPr>
              <w:t>4.4</w:t>
            </w:r>
          </w:p>
        </w:tc>
      </w:tr>
    </w:tbl>
    <w:p w:rsidR="00D8625B" w:rsidRDefault="00D8625B">
      <w:pPr>
        <w:suppressAutoHyphens w:val="0"/>
        <w:spacing w:before="120" w:after="120" w:line="240" w:lineRule="auto"/>
        <w:rPr>
          <w:rFonts w:asciiTheme="majorHAnsi" w:eastAsiaTheme="majorEastAsia" w:hAnsiTheme="majorHAnsi" w:cstheme="majorBidi"/>
          <w:b/>
          <w:color w:val="85367B"/>
          <w:sz w:val="34"/>
          <w:szCs w:val="34"/>
        </w:rPr>
      </w:pPr>
      <w:r>
        <w:br w:type="page"/>
      </w:r>
    </w:p>
    <w:p w:rsidR="00627AC5" w:rsidRPr="00627AC5" w:rsidRDefault="00A0357B" w:rsidP="00D8625B">
      <w:pPr>
        <w:pStyle w:val="Heading2"/>
      </w:pPr>
      <w:r>
        <w:lastRenderedPageBreak/>
        <w:t>Companion Tool</w:t>
      </w:r>
      <w:r w:rsidR="00D8625B">
        <w:t xml:space="preserve"> scores table </w:t>
      </w:r>
    </w:p>
    <w:tbl>
      <w:tblPr>
        <w:tblStyle w:val="GridTable5Dark-Accent1"/>
        <w:tblW w:w="9046" w:type="dxa"/>
        <w:tblBorders>
          <w:top w:val="single" w:sz="4" w:space="0" w:color="5F2E74" w:themeColor="text2"/>
          <w:left w:val="single" w:sz="4" w:space="0" w:color="5F2E74" w:themeColor="text2"/>
          <w:bottom w:val="single" w:sz="4" w:space="0" w:color="5F2E74" w:themeColor="text2"/>
          <w:right w:val="single" w:sz="4" w:space="0" w:color="5F2E74" w:themeColor="text2"/>
          <w:insideH w:val="single" w:sz="4" w:space="0" w:color="5F2E74" w:themeColor="text2"/>
          <w:insideV w:val="single" w:sz="4" w:space="0" w:color="5F2E74" w:themeColor="text2"/>
        </w:tblBorders>
        <w:tblLook w:val="0420" w:firstRow="1" w:lastRow="0" w:firstColumn="0" w:lastColumn="0" w:noHBand="0" w:noVBand="1"/>
        <w:tblDescription w:val="The results from 2744 BSP evaluations showed that the areas of the BSP-QEII needing the most improvement were: consulting with the person with disability when creating BSPs, evidence of future training in the interventions for implementing providers, and consistency throughout the BSP. "/>
      </w:tblPr>
      <w:tblGrid>
        <w:gridCol w:w="4989"/>
        <w:gridCol w:w="960"/>
        <w:gridCol w:w="960"/>
        <w:gridCol w:w="960"/>
        <w:gridCol w:w="1177"/>
      </w:tblGrid>
      <w:tr w:rsidR="00D8625B" w:rsidRPr="00D8625B" w:rsidTr="00E348C6">
        <w:trPr>
          <w:cnfStyle w:val="100000000000" w:firstRow="1" w:lastRow="0" w:firstColumn="0" w:lastColumn="0" w:oddVBand="0" w:evenVBand="0" w:oddHBand="0" w:evenHBand="0" w:firstRowFirstColumn="0" w:firstRowLastColumn="0" w:lastRowFirstColumn="0" w:lastRowLastColumn="0"/>
          <w:cantSplit/>
          <w:trHeight w:val="624"/>
          <w:tblHeader/>
        </w:trPr>
        <w:tc>
          <w:tcPr>
            <w:tcW w:w="4989" w:type="dxa"/>
            <w:tcBorders>
              <w:top w:val="none" w:sz="0" w:space="0" w:color="auto"/>
              <w:left w:val="none" w:sz="0" w:space="0" w:color="auto"/>
              <w:right w:val="none" w:sz="0" w:space="0" w:color="auto"/>
            </w:tcBorders>
            <w:noWrap/>
            <w:vAlign w:val="center"/>
            <w:hideMark/>
          </w:tcPr>
          <w:p w:rsidR="00D8625B" w:rsidRPr="00D8625B" w:rsidRDefault="00D8625B" w:rsidP="00E63F40">
            <w:pPr>
              <w:suppressAutoHyphens w:val="0"/>
              <w:spacing w:before="0" w:after="0" w:line="240" w:lineRule="auto"/>
              <w:jc w:val="center"/>
              <w:rPr>
                <w:rFonts w:ascii="Calibri" w:eastAsia="Times New Roman" w:hAnsi="Calibri" w:cs="Calibri"/>
                <w:szCs w:val="22"/>
                <w:lang w:eastAsia="en-AU"/>
              </w:rPr>
            </w:pPr>
            <w:r w:rsidRPr="00D8625B">
              <w:rPr>
                <w:rFonts w:ascii="Calibri" w:eastAsia="Times New Roman" w:hAnsi="Calibri" w:cs="Calibri"/>
                <w:szCs w:val="22"/>
                <w:lang w:eastAsia="en-AU"/>
              </w:rPr>
              <w:t>National</w:t>
            </w:r>
            <w:r w:rsidR="009F7C83">
              <w:rPr>
                <w:rFonts w:ascii="Calibri" w:eastAsia="Times New Roman" w:hAnsi="Calibri" w:cs="Calibri"/>
                <w:szCs w:val="22"/>
                <w:lang w:eastAsia="en-AU"/>
              </w:rPr>
              <w:t xml:space="preserve"> scores</w:t>
            </w:r>
            <w:r w:rsidR="00E63F40">
              <w:rPr>
                <w:rFonts w:ascii="Calibri" w:eastAsia="Times New Roman" w:hAnsi="Calibri" w:cs="Calibri"/>
                <w:szCs w:val="22"/>
                <w:lang w:eastAsia="en-AU"/>
              </w:rPr>
              <w:t xml:space="preserve"> from the audit of Behaviour Support Plans</w:t>
            </w:r>
          </w:p>
        </w:tc>
        <w:tc>
          <w:tcPr>
            <w:tcW w:w="960" w:type="dxa"/>
            <w:tcBorders>
              <w:top w:val="none" w:sz="0" w:space="0" w:color="auto"/>
              <w:left w:val="none" w:sz="0" w:space="0" w:color="auto"/>
              <w:right w:val="none" w:sz="0" w:space="0" w:color="auto"/>
            </w:tcBorders>
            <w:noWrap/>
            <w:vAlign w:val="center"/>
            <w:hideMark/>
          </w:tcPr>
          <w:p w:rsidR="00D8625B" w:rsidRPr="00D8625B" w:rsidRDefault="00D8625B" w:rsidP="00D8625B">
            <w:pPr>
              <w:suppressAutoHyphens w:val="0"/>
              <w:spacing w:before="0" w:after="0" w:line="240" w:lineRule="auto"/>
              <w:jc w:val="center"/>
              <w:rPr>
                <w:rFonts w:ascii="Calibri" w:eastAsia="Times New Roman" w:hAnsi="Calibri" w:cs="Calibri"/>
                <w:szCs w:val="22"/>
                <w:lang w:eastAsia="en-AU"/>
              </w:rPr>
            </w:pPr>
            <w:r w:rsidRPr="00D8625B">
              <w:rPr>
                <w:rFonts w:ascii="Calibri" w:eastAsia="Times New Roman" w:hAnsi="Calibri" w:cs="Calibri"/>
                <w:szCs w:val="22"/>
                <w:lang w:eastAsia="en-AU"/>
              </w:rPr>
              <w:t>No</w:t>
            </w:r>
          </w:p>
        </w:tc>
        <w:tc>
          <w:tcPr>
            <w:tcW w:w="960" w:type="dxa"/>
            <w:tcBorders>
              <w:top w:val="none" w:sz="0" w:space="0" w:color="auto"/>
              <w:left w:val="none" w:sz="0" w:space="0" w:color="auto"/>
              <w:right w:val="none" w:sz="0" w:space="0" w:color="auto"/>
            </w:tcBorders>
            <w:noWrap/>
            <w:vAlign w:val="center"/>
            <w:hideMark/>
          </w:tcPr>
          <w:p w:rsidR="00D8625B" w:rsidRPr="00D8625B" w:rsidRDefault="00D8625B" w:rsidP="00D8625B">
            <w:pPr>
              <w:suppressAutoHyphens w:val="0"/>
              <w:spacing w:before="0" w:after="0" w:line="240" w:lineRule="auto"/>
              <w:jc w:val="center"/>
              <w:rPr>
                <w:rFonts w:ascii="Calibri" w:eastAsia="Times New Roman" w:hAnsi="Calibri" w:cs="Calibri"/>
                <w:szCs w:val="22"/>
                <w:lang w:eastAsia="en-AU"/>
              </w:rPr>
            </w:pPr>
            <w:r w:rsidRPr="00D8625B">
              <w:rPr>
                <w:rFonts w:ascii="Calibri" w:eastAsia="Times New Roman" w:hAnsi="Calibri" w:cs="Calibri"/>
                <w:szCs w:val="22"/>
                <w:lang w:eastAsia="en-AU"/>
              </w:rPr>
              <w:t>Partial</w:t>
            </w:r>
          </w:p>
        </w:tc>
        <w:tc>
          <w:tcPr>
            <w:tcW w:w="960" w:type="dxa"/>
            <w:tcBorders>
              <w:top w:val="none" w:sz="0" w:space="0" w:color="auto"/>
              <w:left w:val="none" w:sz="0" w:space="0" w:color="auto"/>
              <w:right w:val="none" w:sz="0" w:space="0" w:color="auto"/>
            </w:tcBorders>
            <w:noWrap/>
            <w:vAlign w:val="center"/>
            <w:hideMark/>
          </w:tcPr>
          <w:p w:rsidR="00D8625B" w:rsidRPr="00D8625B" w:rsidRDefault="00D8625B" w:rsidP="00D8625B">
            <w:pPr>
              <w:suppressAutoHyphens w:val="0"/>
              <w:spacing w:before="0" w:after="0" w:line="240" w:lineRule="auto"/>
              <w:jc w:val="center"/>
              <w:rPr>
                <w:rFonts w:ascii="Calibri" w:eastAsia="Times New Roman" w:hAnsi="Calibri" w:cs="Calibri"/>
                <w:szCs w:val="22"/>
                <w:lang w:eastAsia="en-AU"/>
              </w:rPr>
            </w:pPr>
            <w:r w:rsidRPr="00D8625B">
              <w:rPr>
                <w:rFonts w:ascii="Calibri" w:eastAsia="Times New Roman" w:hAnsi="Calibri" w:cs="Calibri"/>
                <w:szCs w:val="22"/>
                <w:lang w:eastAsia="en-AU"/>
              </w:rPr>
              <w:t>Yes</w:t>
            </w:r>
          </w:p>
        </w:tc>
        <w:tc>
          <w:tcPr>
            <w:tcW w:w="1177" w:type="dxa"/>
            <w:tcBorders>
              <w:top w:val="none" w:sz="0" w:space="0" w:color="auto"/>
              <w:left w:val="none" w:sz="0" w:space="0" w:color="auto"/>
              <w:right w:val="none" w:sz="0" w:space="0" w:color="auto"/>
            </w:tcBorders>
            <w:noWrap/>
            <w:vAlign w:val="center"/>
            <w:hideMark/>
          </w:tcPr>
          <w:p w:rsidR="00D8625B" w:rsidRPr="00D8625B" w:rsidRDefault="00D8625B" w:rsidP="00D8625B">
            <w:pPr>
              <w:suppressAutoHyphens w:val="0"/>
              <w:spacing w:before="0" w:after="0" w:line="240" w:lineRule="auto"/>
              <w:jc w:val="center"/>
              <w:rPr>
                <w:rFonts w:ascii="Calibri" w:eastAsia="Times New Roman" w:hAnsi="Calibri" w:cs="Calibri"/>
                <w:szCs w:val="22"/>
                <w:lang w:eastAsia="en-AU"/>
              </w:rPr>
            </w:pPr>
            <w:r w:rsidRPr="00D8625B">
              <w:rPr>
                <w:rFonts w:ascii="Calibri" w:eastAsia="Times New Roman" w:hAnsi="Calibri" w:cs="Calibri"/>
                <w:szCs w:val="22"/>
                <w:lang w:eastAsia="en-AU"/>
              </w:rPr>
              <w:t>Not Applicable</w:t>
            </w:r>
          </w:p>
        </w:tc>
      </w:tr>
      <w:tr w:rsidR="00D8625B" w:rsidRPr="00D8625B" w:rsidTr="00D8625B">
        <w:trPr>
          <w:cnfStyle w:val="000000100000" w:firstRow="0" w:lastRow="0" w:firstColumn="0" w:lastColumn="0" w:oddVBand="0" w:evenVBand="0" w:oddHBand="1" w:evenHBand="0" w:firstRowFirstColumn="0" w:firstRowLastColumn="0" w:lastRowFirstColumn="0" w:lastRowLastColumn="0"/>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Did consultation with the person with disability take place?</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auto"/>
                <w:szCs w:val="22"/>
                <w:lang w:eastAsia="en-AU"/>
              </w:rPr>
            </w:pPr>
            <w:r w:rsidRPr="00D8625B">
              <w:rPr>
                <w:rFonts w:ascii="Calibri" w:eastAsia="Times New Roman" w:hAnsi="Calibri" w:cs="Calibri"/>
                <w:color w:val="auto"/>
                <w:szCs w:val="22"/>
                <w:lang w:eastAsia="en-AU"/>
              </w:rPr>
              <w:t>1,873</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auto"/>
                <w:szCs w:val="22"/>
                <w:lang w:eastAsia="en-AU"/>
              </w:rPr>
            </w:pPr>
            <w:r>
              <w:rPr>
                <w:rFonts w:ascii="Calibri" w:eastAsia="Times New Roman" w:hAnsi="Calibri" w:cs="Calibri"/>
                <w:color w:val="auto"/>
                <w:szCs w:val="22"/>
                <w:lang w:eastAsia="en-AU"/>
              </w:rPr>
              <w:t>-</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auto"/>
                <w:szCs w:val="22"/>
                <w:lang w:eastAsia="en-AU"/>
              </w:rPr>
            </w:pPr>
            <w:r w:rsidRPr="00D8625B">
              <w:rPr>
                <w:rFonts w:ascii="Calibri" w:eastAsia="Times New Roman" w:hAnsi="Calibri" w:cs="Calibri"/>
                <w:color w:val="auto"/>
                <w:szCs w:val="22"/>
                <w:lang w:eastAsia="en-AU"/>
              </w:rPr>
              <w:t>871</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auto"/>
                <w:szCs w:val="22"/>
                <w:lang w:eastAsia="en-AU"/>
              </w:rPr>
            </w:pPr>
            <w:r>
              <w:rPr>
                <w:rFonts w:ascii="Calibri" w:eastAsia="Times New Roman" w:hAnsi="Calibri" w:cs="Calibri"/>
                <w:color w:val="auto"/>
                <w:szCs w:val="22"/>
                <w:lang w:eastAsia="en-AU"/>
              </w:rPr>
              <w:t>-</w:t>
            </w:r>
          </w:p>
        </w:tc>
      </w:tr>
      <w:tr w:rsidR="00D8625B" w:rsidRPr="00D8625B" w:rsidTr="00D8625B">
        <w:trPr>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Are the practitioner name, organisation and contact details present on the plan?</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auto"/>
                <w:szCs w:val="22"/>
                <w:lang w:eastAsia="en-AU"/>
              </w:rPr>
            </w:pPr>
            <w:r w:rsidRPr="00D8625B">
              <w:rPr>
                <w:rFonts w:ascii="Calibri" w:eastAsia="Times New Roman" w:hAnsi="Calibri" w:cs="Calibri"/>
                <w:color w:val="auto"/>
                <w:szCs w:val="22"/>
                <w:lang w:eastAsia="en-AU"/>
              </w:rPr>
              <w:t>50</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856</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1838</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cnfStyle w:val="000000100000" w:firstRow="0" w:lastRow="0" w:firstColumn="0" w:lastColumn="0" w:oddVBand="0" w:evenVBand="0" w:oddHBand="1" w:evenHBand="0" w:firstRowFirstColumn="0" w:firstRowLastColumn="0" w:lastRowFirstColumn="0" w:lastRowLastColumn="0"/>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Has a functional behaviour assessment been completed that analyses all behaviour</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193</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165</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2386</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Is there evidence of a plan to train implementing providers in the interventions</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1030</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472</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1242</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cnfStyle w:val="000000100000" w:firstRow="0" w:lastRow="0" w:firstColumn="0" w:lastColumn="0" w:oddVBand="0" w:evenVBand="0" w:oddHBand="1" w:evenHBand="0" w:firstRowFirstColumn="0" w:firstRowLastColumn="0" w:lastRowFirstColumn="0" w:lastRowLastColumn="0"/>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Is there a protocol of use for all the restrictive practices listed in the plan?</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447</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295</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2002</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Are there fade out plans for each restrictive practices?</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1059</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445</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1240</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cnfStyle w:val="000000100000" w:firstRow="0" w:lastRow="0" w:firstColumn="0" w:lastColumn="0" w:oddVBand="0" w:evenVBand="0" w:oddHBand="1" w:evenHBand="0" w:firstRowFirstColumn="0" w:firstRowLastColumn="0" w:lastRowFirstColumn="0" w:lastRowLastColumn="0"/>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Is there a plan review schedule within the plan (i.e., at least one plan review)</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354</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673</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1717</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r w:rsidR="00D8625B" w:rsidRPr="00D8625B" w:rsidTr="00D8625B">
        <w:trPr>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Has the Commission received the relevant authorisation documents?</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773</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224</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1657</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90</w:t>
            </w:r>
          </w:p>
        </w:tc>
      </w:tr>
      <w:tr w:rsidR="00D8625B" w:rsidRPr="00D8625B" w:rsidTr="00D8625B">
        <w:trPr>
          <w:cnfStyle w:val="000000100000" w:firstRow="0" w:lastRow="0" w:firstColumn="0" w:lastColumn="0" w:oddVBand="0" w:evenVBand="0" w:oddHBand="1" w:evenHBand="0" w:firstRowFirstColumn="0" w:firstRowLastColumn="0" w:lastRowFirstColumn="0" w:lastRowLastColumn="0"/>
          <w:trHeight w:val="624"/>
        </w:trPr>
        <w:tc>
          <w:tcPr>
            <w:tcW w:w="4989" w:type="dxa"/>
            <w:noWrap/>
            <w:vAlign w:val="center"/>
            <w:hideMark/>
          </w:tcPr>
          <w:p w:rsidR="00D8625B" w:rsidRPr="00E348C6" w:rsidRDefault="00D8625B" w:rsidP="009459C4">
            <w:pPr>
              <w:pStyle w:val="ListParagraph"/>
              <w:numPr>
                <w:ilvl w:val="0"/>
                <w:numId w:val="39"/>
              </w:numPr>
              <w:suppressAutoHyphens w:val="0"/>
              <w:spacing w:before="0" w:after="0" w:line="240" w:lineRule="auto"/>
              <w:ind w:left="457"/>
              <w:rPr>
                <w:rFonts w:ascii="Calibri" w:eastAsia="Times New Roman" w:hAnsi="Calibri" w:cs="Calibri"/>
                <w:color w:val="auto"/>
                <w:szCs w:val="22"/>
                <w:lang w:eastAsia="en-AU"/>
              </w:rPr>
            </w:pPr>
            <w:r w:rsidRPr="00E348C6">
              <w:rPr>
                <w:rFonts w:ascii="Calibri" w:eastAsia="Times New Roman" w:hAnsi="Calibri" w:cs="Calibri"/>
                <w:color w:val="auto"/>
                <w:szCs w:val="22"/>
                <w:lang w:eastAsia="en-AU"/>
              </w:rPr>
              <w:t>Are there any discrepancies within the plan?</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1914</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c>
          <w:tcPr>
            <w:tcW w:w="960"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sidRPr="00D8625B">
              <w:rPr>
                <w:rFonts w:ascii="Calibri" w:eastAsia="Times New Roman" w:hAnsi="Calibri" w:cs="Calibri"/>
                <w:color w:val="000000"/>
                <w:szCs w:val="22"/>
                <w:lang w:eastAsia="en-AU"/>
              </w:rPr>
              <w:t>830</w:t>
            </w:r>
          </w:p>
        </w:tc>
        <w:tc>
          <w:tcPr>
            <w:tcW w:w="1177" w:type="dxa"/>
            <w:noWrap/>
            <w:vAlign w:val="center"/>
            <w:hideMark/>
          </w:tcPr>
          <w:p w:rsidR="00D8625B" w:rsidRPr="00D8625B" w:rsidRDefault="00D8625B" w:rsidP="00D8625B">
            <w:pPr>
              <w:suppressAutoHyphens w:val="0"/>
              <w:spacing w:before="0" w:after="0" w:line="240" w:lineRule="auto"/>
              <w:jc w:val="right"/>
              <w:rPr>
                <w:rFonts w:ascii="Calibri" w:eastAsia="Times New Roman" w:hAnsi="Calibri" w:cs="Calibri"/>
                <w:color w:val="000000"/>
                <w:szCs w:val="22"/>
                <w:lang w:eastAsia="en-AU"/>
              </w:rPr>
            </w:pPr>
            <w:r>
              <w:rPr>
                <w:rFonts w:ascii="Calibri" w:eastAsia="Times New Roman" w:hAnsi="Calibri" w:cs="Calibri"/>
                <w:color w:val="000000"/>
                <w:szCs w:val="22"/>
                <w:lang w:eastAsia="en-AU"/>
              </w:rPr>
              <w:t>-</w:t>
            </w:r>
          </w:p>
        </w:tc>
      </w:tr>
    </w:tbl>
    <w:p w:rsidR="00627AC5" w:rsidRPr="00077751" w:rsidRDefault="00627AC5" w:rsidP="00D8625B"/>
    <w:sectPr w:rsidR="00627AC5" w:rsidRPr="00077751" w:rsidSect="00CE4DAF">
      <w:headerReference w:type="first" r:id="rId18"/>
      <w:footerReference w:type="first" r:id="rId19"/>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C1" w:rsidRDefault="00E503C1" w:rsidP="008E21DE">
      <w:pPr>
        <w:spacing w:before="0" w:after="0"/>
      </w:pPr>
      <w:r>
        <w:separator/>
      </w:r>
    </w:p>
  </w:endnote>
  <w:endnote w:type="continuationSeparator" w:id="0">
    <w:p w:rsidR="00E503C1" w:rsidRDefault="00E503C1"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16" w:rsidRDefault="00D16316" w:rsidP="00362AB6">
    <w:pPr>
      <w:pStyle w:val="Footer"/>
    </w:pPr>
    <w:r>
      <w:rPr>
        <w:b/>
        <w:bCs/>
        <w:noProof/>
        <w:lang w:eastAsia="en-AU"/>
      </w:rPr>
      <mc:AlternateContent>
        <mc:Choice Requires="wps">
          <w:drawing>
            <wp:inline distT="0" distB="0" distL="0" distR="0" wp14:anchorId="711A56EC" wp14:editId="1A858250">
              <wp:extent cx="5724000" cy="79200"/>
              <wp:effectExtent l="0" t="0" r="0" b="0"/>
              <wp:docPr id="9" name="Rectangle 9"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5E12D" id="Rectangle 9"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" fillcolor="#539250 [3207]" stroked="f" strokeweight="1pt">
              <v:fill color2="#83b14c [3208]" angle="90" colors="0 #539250;.5 #83b14c" focus="100%" type="gradient">
                <o:fill v:ext="view" type="gradientUnscaled"/>
              </v:fill>
              <w10:anchorlock/>
            </v:rect>
          </w:pict>
        </mc:Fallback>
      </mc:AlternateContent>
    </w:r>
  </w:p>
  <w:p w:rsidR="00D16316" w:rsidRPr="00080615" w:rsidRDefault="008C38CC" w:rsidP="008C38CC">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95432">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16" w:rsidRPr="00080615" w:rsidRDefault="00D16316"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89" w:rsidRDefault="00CE4DAF" w:rsidP="00080615">
    <w:pPr>
      <w:pStyle w:val="Footer"/>
      <w:rPr>
        <w:sz w:val="18"/>
        <w:szCs w:val="18"/>
      </w:rPr>
    </w:pPr>
    <w:r>
      <w:rPr>
        <w:b/>
        <w:bCs/>
        <w:noProof/>
        <w:lang w:eastAsia="en-AU"/>
      </w:rPr>
      <mc:AlternateContent>
        <mc:Choice Requires="wps">
          <w:drawing>
            <wp:inline distT="0" distB="0" distL="0" distR="0">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6E12DF"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PuxNUPEAgAAIw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CE4DAF" w:rsidRPr="00080615" w:rsidRDefault="00CE4DA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9543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C1" w:rsidRDefault="00E503C1" w:rsidP="008E21DE">
      <w:pPr>
        <w:spacing w:before="0" w:after="0"/>
      </w:pPr>
      <w:r>
        <w:separator/>
      </w:r>
    </w:p>
  </w:footnote>
  <w:footnote w:type="continuationSeparator" w:id="0">
    <w:p w:rsidR="00E503C1" w:rsidRDefault="00E503C1" w:rsidP="008E21DE">
      <w:pPr>
        <w:spacing w:before="0" w:after="0"/>
      </w:pPr>
      <w:r>
        <w:continuationSeparator/>
      </w:r>
    </w:p>
  </w:footnote>
  <w:footnote w:id="1">
    <w:p w:rsidR="00077751" w:rsidRDefault="00077751" w:rsidP="00077751">
      <w:pPr>
        <w:pStyle w:val="FootnoteText"/>
      </w:pPr>
      <w:r>
        <w:rPr>
          <w:rStyle w:val="FootnoteReference"/>
        </w:rPr>
        <w:footnoteRef/>
      </w:r>
      <w:r>
        <w:t xml:space="preserve"> California Department of Education, PENT, </w:t>
      </w:r>
      <w:r w:rsidRPr="00FE61F7">
        <w:t>Browning-Wright, D., Mayer, G. R., &amp; Saren, D. (2013). The behavior support plan-quality evaluation guide.</w:t>
      </w:r>
    </w:p>
  </w:footnote>
  <w:footnote w:id="2">
    <w:p w:rsidR="00077751" w:rsidRDefault="00077751" w:rsidP="00077751">
      <w:pPr>
        <w:pStyle w:val="FootnoteText"/>
        <w:rPr>
          <w:lang w:val="en-US"/>
        </w:rPr>
      </w:pPr>
      <w:r>
        <w:rPr>
          <w:rStyle w:val="FootnoteReference"/>
        </w:rPr>
        <w:footnoteRef/>
      </w:r>
      <w:r>
        <w:t xml:space="preserve"> </w:t>
      </w:r>
      <w:r>
        <w:rPr>
          <w:lang w:val="en-US"/>
        </w:rPr>
        <w:t>PBSCF represents non-lodged BSPs evaluated as part of the practitioner suitability assessment process.</w:t>
      </w:r>
    </w:p>
    <w:p w:rsidR="00077751" w:rsidRDefault="00077751" w:rsidP="00077751">
      <w:pPr>
        <w:pStyle w:val="FootnoteText"/>
        <w:rPr>
          <w:lang w:val="en-US"/>
        </w:rPr>
      </w:pPr>
      <w:r w:rsidRPr="00CF43CC">
        <w:rPr>
          <w:sz w:val="24"/>
          <w:szCs w:val="24"/>
          <w:lang w:val="en-US"/>
        </w:rPr>
        <w:t>*</w:t>
      </w:r>
      <w:r w:rsidRPr="00CF43CC">
        <w:rPr>
          <w:lang w:val="en-US"/>
        </w:rPr>
        <w:t xml:space="preserve"> Excludes 12 plans </w:t>
      </w:r>
      <w:r>
        <w:rPr>
          <w:lang w:val="en-US"/>
        </w:rPr>
        <w:t xml:space="preserve">evaluated </w:t>
      </w:r>
      <w:r w:rsidRPr="00CF43CC">
        <w:rPr>
          <w:lang w:val="en-US"/>
        </w:rPr>
        <w:t xml:space="preserve">with </w:t>
      </w:r>
      <w:r>
        <w:rPr>
          <w:lang w:val="en-US"/>
        </w:rPr>
        <w:t>the NDIS Commission Companion T</w:t>
      </w:r>
      <w:r w:rsidRPr="00CF43CC">
        <w:rPr>
          <w:lang w:val="en-US"/>
        </w:rPr>
        <w:t xml:space="preserve">ool but not </w:t>
      </w:r>
      <w:r>
        <w:rPr>
          <w:lang w:val="en-US"/>
        </w:rPr>
        <w:t>the BSP-</w:t>
      </w:r>
      <w:r w:rsidRPr="00CF43CC">
        <w:rPr>
          <w:lang w:val="en-US"/>
        </w:rPr>
        <w:t xml:space="preserve">QEII </w:t>
      </w:r>
    </w:p>
    <w:p w:rsidR="00077751" w:rsidRPr="00E161D7" w:rsidRDefault="00077751" w:rsidP="0007775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16" w:rsidRDefault="00D16316">
    <w:pPr>
      <w:pStyle w:val="Header"/>
    </w:pPr>
  </w:p>
  <w:p w:rsidR="00D16316" w:rsidRDefault="00D16316">
    <w:pPr>
      <w:pStyle w:val="Header"/>
    </w:pPr>
    <w:r>
      <w:rPr>
        <w:b w:val="0"/>
        <w:bCs/>
        <w:noProof/>
        <w:lang w:eastAsia="en-AU"/>
      </w:rPr>
      <mc:AlternateContent>
        <mc:Choice Requires="wps">
          <w:drawing>
            <wp:inline distT="0" distB="0" distL="0" distR="0" wp14:anchorId="09DA26C8" wp14:editId="110E6A8D">
              <wp:extent cx="5724000" cy="79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9001F" id="Rectangle 7"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16" w:rsidRDefault="00D16316">
    <w:pPr>
      <w:pStyle w:val="Header"/>
    </w:pPr>
    <w:r>
      <w:rPr>
        <w:noProof/>
        <w:lang w:eastAsia="en-AU"/>
      </w:rPr>
      <mc:AlternateContent>
        <mc:Choice Requires="wps">
          <w:drawing>
            <wp:anchor distT="0" distB="0" distL="114300" distR="114300" simplePos="0" relativeHeight="251679744" behindDoc="1" locked="0" layoutInCell="1" allowOverlap="1" wp14:anchorId="0EE5042B" wp14:editId="02DD9594">
              <wp:simplePos x="0" y="0"/>
              <wp:positionH relativeFrom="margin">
                <wp:posOffset>-1515745</wp:posOffset>
              </wp:positionH>
              <wp:positionV relativeFrom="paragraph">
                <wp:posOffset>-380365</wp:posOffset>
              </wp:positionV>
              <wp:extent cx="12192000" cy="12620625"/>
              <wp:effectExtent l="0" t="0" r="0" b="9525"/>
              <wp:wrapNone/>
              <wp:docPr id="10"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DDEE7A8" id="Rectangle 3" o:spid="_x0000_s1026" alt="Decorative" style="position:absolute;margin-left:-119.35pt;margin-top:-29.95pt;width:960pt;height:993.75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" fillcolor="#5f2e74 [3204]" stroked="f" strokeweight="1pt">
              <w10:wrap anchorx="margin"/>
            </v:rect>
          </w:pict>
        </mc:Fallback>
      </mc:AlternateContent>
    </w:r>
    <w:r>
      <w:rPr>
        <w:noProof/>
        <w:lang w:eastAsia="en-AU"/>
      </w:rPr>
      <w:drawing>
        <wp:inline distT="0" distB="0" distL="0" distR="0" wp14:anchorId="09C00BD6" wp14:editId="2792C5A5">
          <wp:extent cx="3572510" cy="1109345"/>
          <wp:effectExtent l="0" t="0" r="0" b="0"/>
          <wp:docPr id="20" name="Picture 20"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AF" w:rsidRDefault="00CE4DAF">
    <w:pPr>
      <w:pStyle w:val="Header"/>
    </w:pPr>
    <w:r>
      <w:rPr>
        <w:noProof/>
        <w:lang w:eastAsia="en-AU"/>
      </w:rPr>
      <w:drawing>
        <wp:inline distT="0" distB="0" distL="0" distR="0">
          <wp:extent cx="3497386" cy="1350335"/>
          <wp:effectExtent l="0" t="0" r="8255" b="0"/>
          <wp:docPr id="12" name="Picture 12"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950227"/>
    <w:multiLevelType w:val="hybridMultilevel"/>
    <w:tmpl w:val="9EFE128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7A0652"/>
    <w:multiLevelType w:val="hybridMultilevel"/>
    <w:tmpl w:val="DB62F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5DCE050C"/>
    <w:multiLevelType w:val="hybridMultilevel"/>
    <w:tmpl w:val="7512B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397869"/>
    <w:multiLevelType w:val="multilevel"/>
    <w:tmpl w:val="4E929216"/>
    <w:numStyleLink w:val="NumberedHeadings"/>
  </w:abstractNum>
  <w:abstractNum w:abstractNumId="23" w15:restartNumberingAfterBreak="0">
    <w:nsid w:val="6D4F423B"/>
    <w:multiLevelType w:val="multilevel"/>
    <w:tmpl w:val="4A7CCC2C"/>
    <w:numStyleLink w:val="DefaultBullets"/>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80A7BA6"/>
    <w:multiLevelType w:val="hybridMultilevel"/>
    <w:tmpl w:val="E65AA7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90B67C4"/>
    <w:multiLevelType w:val="multilevel"/>
    <w:tmpl w:val="FE688822"/>
    <w:numStyleLink w:val="BoxedBullets"/>
  </w:abstractNum>
  <w:abstractNum w:abstractNumId="27" w15:restartNumberingAfterBreak="0">
    <w:nsid w:val="7EE44065"/>
    <w:multiLevelType w:val="multilevel"/>
    <w:tmpl w:val="A41689A2"/>
    <w:numStyleLink w:val="AppendixNumbers"/>
  </w:abstractNum>
  <w:num w:numId="1">
    <w:abstractNumId w:val="3"/>
  </w:num>
  <w:num w:numId="2">
    <w:abstractNumId w:val="27"/>
  </w:num>
  <w:num w:numId="3">
    <w:abstractNumId w:val="16"/>
  </w:num>
  <w:num w:numId="4">
    <w:abstractNumId w:val="26"/>
  </w:num>
  <w:num w:numId="5">
    <w:abstractNumId w:val="26"/>
  </w:num>
  <w:num w:numId="6">
    <w:abstractNumId w:val="12"/>
  </w:num>
  <w:num w:numId="7">
    <w:abstractNumId w:val="15"/>
  </w:num>
  <w:num w:numId="8">
    <w:abstractNumId w:val="15"/>
  </w:num>
  <w:num w:numId="9">
    <w:abstractNumId w:val="15"/>
  </w:num>
  <w:num w:numId="10">
    <w:abstractNumId w:val="5"/>
  </w:num>
  <w:num w:numId="11">
    <w:abstractNumId w:val="17"/>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4"/>
  </w:num>
  <w:num w:numId="20">
    <w:abstractNumId w:val="19"/>
  </w:num>
  <w:num w:numId="21">
    <w:abstractNumId w:val="19"/>
  </w:num>
  <w:num w:numId="22">
    <w:abstractNumId w:val="19"/>
  </w:num>
  <w:num w:numId="23">
    <w:abstractNumId w:val="18"/>
  </w:num>
  <w:num w:numId="24">
    <w:abstractNumId w:val="10"/>
  </w:num>
  <w:num w:numId="25">
    <w:abstractNumId w:val="6"/>
  </w:num>
  <w:num w:numId="26">
    <w:abstractNumId w:val="14"/>
  </w:num>
  <w:num w:numId="27">
    <w:abstractNumId w:val="0"/>
  </w:num>
  <w:num w:numId="28">
    <w:abstractNumId w:val="24"/>
  </w:num>
  <w:num w:numId="29">
    <w:abstractNumId w:val="2"/>
  </w:num>
  <w:num w:numId="30">
    <w:abstractNumId w:val="1"/>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9"/>
  </w:num>
  <w:num w:numId="36">
    <w:abstractNumId w:val="13"/>
  </w:num>
  <w:num w:numId="37">
    <w:abstractNumId w:val="11"/>
  </w:num>
  <w:num w:numId="38">
    <w:abstractNumId w:val="25"/>
  </w:num>
  <w:num w:numId="39">
    <w:abstractNumId w:val="2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51"/>
    <w:rsid w:val="00011B58"/>
    <w:rsid w:val="00077751"/>
    <w:rsid w:val="00080615"/>
    <w:rsid w:val="00081103"/>
    <w:rsid w:val="000B38C1"/>
    <w:rsid w:val="000C252F"/>
    <w:rsid w:val="000D3B81"/>
    <w:rsid w:val="000F3A54"/>
    <w:rsid w:val="000F48FC"/>
    <w:rsid w:val="00116035"/>
    <w:rsid w:val="00191ED6"/>
    <w:rsid w:val="00201052"/>
    <w:rsid w:val="00231AAC"/>
    <w:rsid w:val="00255646"/>
    <w:rsid w:val="0025780C"/>
    <w:rsid w:val="00260CCC"/>
    <w:rsid w:val="00261F97"/>
    <w:rsid w:val="00276278"/>
    <w:rsid w:val="002804D3"/>
    <w:rsid w:val="00280D62"/>
    <w:rsid w:val="002947A7"/>
    <w:rsid w:val="002E3671"/>
    <w:rsid w:val="003449A0"/>
    <w:rsid w:val="00362AB6"/>
    <w:rsid w:val="00395C36"/>
    <w:rsid w:val="003F29B8"/>
    <w:rsid w:val="004154E2"/>
    <w:rsid w:val="00432589"/>
    <w:rsid w:val="004359DF"/>
    <w:rsid w:val="00455AAF"/>
    <w:rsid w:val="00493D6F"/>
    <w:rsid w:val="004D4273"/>
    <w:rsid w:val="004F66A9"/>
    <w:rsid w:val="0050052E"/>
    <w:rsid w:val="00534D53"/>
    <w:rsid w:val="00544AF8"/>
    <w:rsid w:val="00553B25"/>
    <w:rsid w:val="00582A32"/>
    <w:rsid w:val="006132C6"/>
    <w:rsid w:val="00627AC5"/>
    <w:rsid w:val="00646885"/>
    <w:rsid w:val="00650E13"/>
    <w:rsid w:val="00662EB7"/>
    <w:rsid w:val="0067135E"/>
    <w:rsid w:val="00680A20"/>
    <w:rsid w:val="00680F04"/>
    <w:rsid w:val="006928B2"/>
    <w:rsid w:val="006A5FB6"/>
    <w:rsid w:val="006D0100"/>
    <w:rsid w:val="00701F79"/>
    <w:rsid w:val="0075250E"/>
    <w:rsid w:val="0076178C"/>
    <w:rsid w:val="007703DE"/>
    <w:rsid w:val="0077078F"/>
    <w:rsid w:val="0077674B"/>
    <w:rsid w:val="0079299E"/>
    <w:rsid w:val="007A24B7"/>
    <w:rsid w:val="00870DED"/>
    <w:rsid w:val="0087733E"/>
    <w:rsid w:val="008A649A"/>
    <w:rsid w:val="008B2BDA"/>
    <w:rsid w:val="008C38CC"/>
    <w:rsid w:val="008D603D"/>
    <w:rsid w:val="008E21DE"/>
    <w:rsid w:val="0092679E"/>
    <w:rsid w:val="00927661"/>
    <w:rsid w:val="009459C4"/>
    <w:rsid w:val="009C5745"/>
    <w:rsid w:val="009F7C83"/>
    <w:rsid w:val="00A02F26"/>
    <w:rsid w:val="00A0357B"/>
    <w:rsid w:val="00A07E4A"/>
    <w:rsid w:val="00A12C6D"/>
    <w:rsid w:val="00A60009"/>
    <w:rsid w:val="00AA094B"/>
    <w:rsid w:val="00AB12D5"/>
    <w:rsid w:val="00AD735D"/>
    <w:rsid w:val="00AE6F93"/>
    <w:rsid w:val="00AF0899"/>
    <w:rsid w:val="00B025D1"/>
    <w:rsid w:val="00B35BDF"/>
    <w:rsid w:val="00B46E28"/>
    <w:rsid w:val="00B56E54"/>
    <w:rsid w:val="00B603C0"/>
    <w:rsid w:val="00B70F5F"/>
    <w:rsid w:val="00B80518"/>
    <w:rsid w:val="00B83AB4"/>
    <w:rsid w:val="00BC0796"/>
    <w:rsid w:val="00C0421C"/>
    <w:rsid w:val="00C10202"/>
    <w:rsid w:val="00C21944"/>
    <w:rsid w:val="00C36D49"/>
    <w:rsid w:val="00C42F91"/>
    <w:rsid w:val="00C52C59"/>
    <w:rsid w:val="00C63E44"/>
    <w:rsid w:val="00C6534A"/>
    <w:rsid w:val="00C90DF2"/>
    <w:rsid w:val="00C92FAF"/>
    <w:rsid w:val="00CE2BFF"/>
    <w:rsid w:val="00CE4DAF"/>
    <w:rsid w:val="00D00D05"/>
    <w:rsid w:val="00D16316"/>
    <w:rsid w:val="00D8625B"/>
    <w:rsid w:val="00DB6E11"/>
    <w:rsid w:val="00DF74BA"/>
    <w:rsid w:val="00E260AC"/>
    <w:rsid w:val="00E30DA3"/>
    <w:rsid w:val="00E348C6"/>
    <w:rsid w:val="00E503C1"/>
    <w:rsid w:val="00E63F40"/>
    <w:rsid w:val="00E7312D"/>
    <w:rsid w:val="00E95432"/>
    <w:rsid w:val="00EC53E4"/>
    <w:rsid w:val="00EE737C"/>
    <w:rsid w:val="00F07AB7"/>
    <w:rsid w:val="00F10A81"/>
    <w:rsid w:val="00F635AF"/>
    <w:rsid w:val="00F704CE"/>
    <w:rsid w:val="00F7471C"/>
    <w:rsid w:val="00F92436"/>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556F0F-50F5-46B8-B605-07914C2C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79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table" w:styleId="GridTable4-Accent1">
    <w:name w:val="Grid Table 4 Accent 1"/>
    <w:basedOn w:val="TableNormal"/>
    <w:uiPriority w:val="49"/>
    <w:rsid w:val="0007775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ListParagraph">
    <w:name w:val="List Paragraph"/>
    <w:basedOn w:val="Normal"/>
    <w:uiPriority w:val="34"/>
    <w:unhideWhenUsed/>
    <w:qFormat/>
    <w:rsid w:val="00E34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0210">
      <w:bodyDiv w:val="1"/>
      <w:marLeft w:val="0"/>
      <w:marRight w:val="0"/>
      <w:marTop w:val="0"/>
      <w:marBottom w:val="0"/>
      <w:divBdr>
        <w:top w:val="none" w:sz="0" w:space="0" w:color="auto"/>
        <w:left w:val="none" w:sz="0" w:space="0" w:color="auto"/>
        <w:bottom w:val="none" w:sz="0" w:space="0" w:color="auto"/>
        <w:right w:val="none" w:sz="0" w:space="0" w:color="auto"/>
      </w:divBdr>
    </w:div>
    <w:div w:id="648947484">
      <w:bodyDiv w:val="1"/>
      <w:marLeft w:val="0"/>
      <w:marRight w:val="0"/>
      <w:marTop w:val="0"/>
      <w:marBottom w:val="0"/>
      <w:divBdr>
        <w:top w:val="none" w:sz="0" w:space="0" w:color="auto"/>
        <w:left w:val="none" w:sz="0" w:space="0" w:color="auto"/>
        <w:bottom w:val="none" w:sz="0" w:space="0" w:color="auto"/>
        <w:right w:val="none" w:sz="0" w:space="0" w:color="auto"/>
      </w:divBdr>
    </w:div>
    <w:div w:id="684284637">
      <w:bodyDiv w:val="1"/>
      <w:marLeft w:val="0"/>
      <w:marRight w:val="0"/>
      <w:marTop w:val="0"/>
      <w:marBottom w:val="0"/>
      <w:divBdr>
        <w:top w:val="none" w:sz="0" w:space="0" w:color="auto"/>
        <w:left w:val="none" w:sz="0" w:space="0" w:color="auto"/>
        <w:bottom w:val="none" w:sz="0" w:space="0" w:color="auto"/>
        <w:right w:val="none" w:sz="0" w:space="0" w:color="auto"/>
      </w:divBdr>
    </w:div>
    <w:div w:id="17133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Details/C2020C0039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Details/F2020C01087"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Details/F2018N00041"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Details/F2020C010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525312111479488"/>
          <c:y val="5.7925223802001054E-2"/>
          <c:w val="0.50145436179030256"/>
          <c:h val="0.78689689011425501"/>
        </c:manualLayout>
      </c:layout>
      <c:barChart>
        <c:barDir val="bar"/>
        <c:grouping val="percentStacked"/>
        <c:varyColors val="0"/>
        <c:ser>
          <c:idx val="0"/>
          <c:order val="0"/>
          <c:tx>
            <c:strRef>
              <c:f>Sheet1!$B$1</c:f>
              <c:strCache>
                <c:ptCount val="1"/>
                <c:pt idx="0">
                  <c:v>Not addressed</c:v>
                </c:pt>
              </c:strCache>
            </c:strRef>
          </c:tx>
          <c:spPr>
            <a:solidFill>
              <a:schemeClr val="accent1"/>
            </a:solidFill>
            <a:ln>
              <a:noFill/>
            </a:ln>
            <a:effectLst/>
          </c:spPr>
          <c:invertIfNegative val="0"/>
          <c:cat>
            <c:strRef>
              <c:f>Sheet1!$A$2:$A$13</c:f>
              <c:strCache>
                <c:ptCount val="12"/>
                <c:pt idx="0">
                  <c:v>L. Communication </c:v>
                </c:pt>
                <c:pt idx="1">
                  <c:v>K. Team Coordination </c:v>
                </c:pt>
                <c:pt idx="2">
                  <c:v>J. Goals and Objectives</c:v>
                </c:pt>
                <c:pt idx="3">
                  <c:v>I. Reactive Strategies</c:v>
                </c:pt>
                <c:pt idx="4">
                  <c:v>H. Reinforcement  </c:v>
                </c:pt>
                <c:pt idx="5">
                  <c:v>G. Teaching Strategies </c:v>
                </c:pt>
                <c:pt idx="6">
                  <c:v>F. Function Related to Replacement Behaviors</c:v>
                </c:pt>
                <c:pt idx="7">
                  <c:v>E. Predictors Related to Function </c:v>
                </c:pt>
                <c:pt idx="8">
                  <c:v>D. Environmental Changes </c:v>
                </c:pt>
                <c:pt idx="9">
                  <c:v>C. Analyzing What is Supporting Problem Behavior</c:v>
                </c:pt>
                <c:pt idx="10">
                  <c:v>B. Predictors of Behavior</c:v>
                </c:pt>
                <c:pt idx="11">
                  <c:v>A. Problem Behaviour</c:v>
                </c:pt>
              </c:strCache>
            </c:strRef>
          </c:cat>
          <c:val>
            <c:numRef>
              <c:f>Sheet1!$B$2:$B$13</c:f>
              <c:numCache>
                <c:formatCode>General</c:formatCode>
                <c:ptCount val="12"/>
                <c:pt idx="0">
                  <c:v>86.1</c:v>
                </c:pt>
                <c:pt idx="1">
                  <c:v>41</c:v>
                </c:pt>
                <c:pt idx="2">
                  <c:v>80.900000000000006</c:v>
                </c:pt>
                <c:pt idx="3">
                  <c:v>10.9</c:v>
                </c:pt>
                <c:pt idx="4">
                  <c:v>69.7</c:v>
                </c:pt>
                <c:pt idx="5">
                  <c:v>21.2</c:v>
                </c:pt>
                <c:pt idx="6">
                  <c:v>66.8</c:v>
                </c:pt>
                <c:pt idx="7">
                  <c:v>34.799999999999997</c:v>
                </c:pt>
                <c:pt idx="8">
                  <c:v>10.199999999999999</c:v>
                </c:pt>
                <c:pt idx="9">
                  <c:v>12.7</c:v>
                </c:pt>
                <c:pt idx="10">
                  <c:v>3.7</c:v>
                </c:pt>
                <c:pt idx="11">
                  <c:v>1.5</c:v>
                </c:pt>
              </c:numCache>
            </c:numRef>
          </c:val>
          <c:extLst>
            <c:ext xmlns:c16="http://schemas.microsoft.com/office/drawing/2014/chart" uri="{C3380CC4-5D6E-409C-BE32-E72D297353CC}">
              <c16:uniqueId val="{00000000-E406-4DEC-AB00-70DC86FBDAEB}"/>
            </c:ext>
          </c:extLst>
        </c:ser>
        <c:ser>
          <c:idx val="1"/>
          <c:order val="1"/>
          <c:tx>
            <c:strRef>
              <c:f>Sheet1!$C$1</c:f>
              <c:strCache>
                <c:ptCount val="1"/>
                <c:pt idx="0">
                  <c:v>Partially addressed</c:v>
                </c:pt>
              </c:strCache>
            </c:strRef>
          </c:tx>
          <c:spPr>
            <a:solidFill>
              <a:schemeClr val="accent3"/>
            </a:solidFill>
            <a:ln>
              <a:noFill/>
            </a:ln>
            <a:effectLst/>
          </c:spPr>
          <c:invertIfNegative val="0"/>
          <c:cat>
            <c:strRef>
              <c:f>Sheet1!$A$2:$A$13</c:f>
              <c:strCache>
                <c:ptCount val="12"/>
                <c:pt idx="0">
                  <c:v>L. Communication </c:v>
                </c:pt>
                <c:pt idx="1">
                  <c:v>K. Team Coordination </c:v>
                </c:pt>
                <c:pt idx="2">
                  <c:v>J. Goals and Objectives</c:v>
                </c:pt>
                <c:pt idx="3">
                  <c:v>I. Reactive Strategies</c:v>
                </c:pt>
                <c:pt idx="4">
                  <c:v>H. Reinforcement  </c:v>
                </c:pt>
                <c:pt idx="5">
                  <c:v>G. Teaching Strategies </c:v>
                </c:pt>
                <c:pt idx="6">
                  <c:v>F. Function Related to Replacement Behaviors</c:v>
                </c:pt>
                <c:pt idx="7">
                  <c:v>E. Predictors Related to Function </c:v>
                </c:pt>
                <c:pt idx="8">
                  <c:v>D. Environmental Changes </c:v>
                </c:pt>
                <c:pt idx="9">
                  <c:v>C. Analyzing What is Supporting Problem Behavior</c:v>
                </c:pt>
                <c:pt idx="10">
                  <c:v>B. Predictors of Behavior</c:v>
                </c:pt>
                <c:pt idx="11">
                  <c:v>A. Problem Behaviour</c:v>
                </c:pt>
              </c:strCache>
            </c:strRef>
          </c:cat>
          <c:val>
            <c:numRef>
              <c:f>Sheet1!$C$2:$C$13</c:f>
              <c:numCache>
                <c:formatCode>General</c:formatCode>
                <c:ptCount val="12"/>
                <c:pt idx="0">
                  <c:v>9.6</c:v>
                </c:pt>
                <c:pt idx="1">
                  <c:v>47.3</c:v>
                </c:pt>
                <c:pt idx="2">
                  <c:v>11.4</c:v>
                </c:pt>
                <c:pt idx="3">
                  <c:v>29</c:v>
                </c:pt>
                <c:pt idx="4">
                  <c:v>20.7</c:v>
                </c:pt>
                <c:pt idx="5">
                  <c:v>58.2</c:v>
                </c:pt>
                <c:pt idx="6">
                  <c:v>0</c:v>
                </c:pt>
                <c:pt idx="7">
                  <c:v>12.7</c:v>
                </c:pt>
                <c:pt idx="8">
                  <c:v>13</c:v>
                </c:pt>
                <c:pt idx="9">
                  <c:v>19.899999999999999</c:v>
                </c:pt>
                <c:pt idx="10">
                  <c:v>13.5</c:v>
                </c:pt>
                <c:pt idx="11">
                  <c:v>18.8</c:v>
                </c:pt>
              </c:numCache>
            </c:numRef>
          </c:val>
          <c:extLst>
            <c:ext xmlns:c16="http://schemas.microsoft.com/office/drawing/2014/chart" uri="{C3380CC4-5D6E-409C-BE32-E72D297353CC}">
              <c16:uniqueId val="{00000001-E406-4DEC-AB00-70DC86FBDAEB}"/>
            </c:ext>
          </c:extLst>
        </c:ser>
        <c:ser>
          <c:idx val="2"/>
          <c:order val="2"/>
          <c:tx>
            <c:strRef>
              <c:f>Sheet1!$D$1</c:f>
              <c:strCache>
                <c:ptCount val="1"/>
                <c:pt idx="0">
                  <c:v>Fully addressed</c:v>
                </c:pt>
              </c:strCache>
            </c:strRef>
          </c:tx>
          <c:spPr>
            <a:solidFill>
              <a:schemeClr val="accent5"/>
            </a:solidFill>
            <a:ln>
              <a:noFill/>
            </a:ln>
            <a:effectLst/>
          </c:spPr>
          <c:invertIfNegative val="0"/>
          <c:cat>
            <c:strRef>
              <c:f>Sheet1!$A$2:$A$13</c:f>
              <c:strCache>
                <c:ptCount val="12"/>
                <c:pt idx="0">
                  <c:v>L. Communication </c:v>
                </c:pt>
                <c:pt idx="1">
                  <c:v>K. Team Coordination </c:v>
                </c:pt>
                <c:pt idx="2">
                  <c:v>J. Goals and Objectives</c:v>
                </c:pt>
                <c:pt idx="3">
                  <c:v>I. Reactive Strategies</c:v>
                </c:pt>
                <c:pt idx="4">
                  <c:v>H. Reinforcement  </c:v>
                </c:pt>
                <c:pt idx="5">
                  <c:v>G. Teaching Strategies </c:v>
                </c:pt>
                <c:pt idx="6">
                  <c:v>F. Function Related to Replacement Behaviors</c:v>
                </c:pt>
                <c:pt idx="7">
                  <c:v>E. Predictors Related to Function </c:v>
                </c:pt>
                <c:pt idx="8">
                  <c:v>D. Environmental Changes </c:v>
                </c:pt>
                <c:pt idx="9">
                  <c:v>C. Analyzing What is Supporting Problem Behavior</c:v>
                </c:pt>
                <c:pt idx="10">
                  <c:v>B. Predictors of Behavior</c:v>
                </c:pt>
                <c:pt idx="11">
                  <c:v>A. Problem Behaviour</c:v>
                </c:pt>
              </c:strCache>
            </c:strRef>
          </c:cat>
          <c:val>
            <c:numRef>
              <c:f>Sheet1!$D$2:$D$13</c:f>
              <c:numCache>
                <c:formatCode>General</c:formatCode>
                <c:ptCount val="12"/>
                <c:pt idx="0">
                  <c:v>4.4000000000000004</c:v>
                </c:pt>
                <c:pt idx="1">
                  <c:v>11.7</c:v>
                </c:pt>
                <c:pt idx="2">
                  <c:v>7.7</c:v>
                </c:pt>
                <c:pt idx="3">
                  <c:v>60</c:v>
                </c:pt>
                <c:pt idx="4">
                  <c:v>9.6</c:v>
                </c:pt>
                <c:pt idx="5">
                  <c:v>20.6</c:v>
                </c:pt>
                <c:pt idx="6">
                  <c:v>33.200000000000003</c:v>
                </c:pt>
                <c:pt idx="7">
                  <c:v>52.5</c:v>
                </c:pt>
                <c:pt idx="8">
                  <c:v>76.7</c:v>
                </c:pt>
                <c:pt idx="9">
                  <c:v>67.400000000000006</c:v>
                </c:pt>
                <c:pt idx="10">
                  <c:v>82.8</c:v>
                </c:pt>
                <c:pt idx="11">
                  <c:v>79.599999999999994</c:v>
                </c:pt>
              </c:numCache>
            </c:numRef>
          </c:val>
          <c:extLst>
            <c:ext xmlns:c16="http://schemas.microsoft.com/office/drawing/2014/chart" uri="{C3380CC4-5D6E-409C-BE32-E72D297353CC}">
              <c16:uniqueId val="{00000002-E406-4DEC-AB00-70DC86FBDAEB}"/>
            </c:ext>
          </c:extLst>
        </c:ser>
        <c:dLbls>
          <c:showLegendKey val="0"/>
          <c:showVal val="0"/>
          <c:showCatName val="0"/>
          <c:showSerName val="0"/>
          <c:showPercent val="0"/>
          <c:showBubbleSize val="0"/>
        </c:dLbls>
        <c:gapWidth val="150"/>
        <c:overlap val="100"/>
        <c:axId val="244127408"/>
        <c:axId val="244130360"/>
      </c:barChart>
      <c:catAx>
        <c:axId val="244127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44130360"/>
        <c:crosses val="autoZero"/>
        <c:auto val="1"/>
        <c:lblAlgn val="ctr"/>
        <c:lblOffset val="100"/>
        <c:noMultiLvlLbl val="0"/>
      </c:catAx>
      <c:valAx>
        <c:axId val="244130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44127408"/>
        <c:crosses val="autoZero"/>
        <c:crossBetween val="between"/>
      </c:valAx>
      <c:spPr>
        <a:noFill/>
        <a:ln>
          <a:noFill/>
        </a:ln>
        <a:effectLst/>
      </c:spPr>
    </c:plotArea>
    <c:legend>
      <c:legendPos val="b"/>
      <c:layout>
        <c:manualLayout>
          <c:xMode val="edge"/>
          <c:yMode val="edge"/>
          <c:x val="2.5074466431827595E-2"/>
          <c:y val="0.93788253652126596"/>
          <c:w val="0.57567327367385002"/>
          <c:h val="5.121431899919945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No</c:v>
                </c:pt>
              </c:strCache>
            </c:strRef>
          </c:tx>
          <c:spPr>
            <a:solidFill>
              <a:schemeClr val="accent1"/>
            </a:solidFill>
            <a:ln>
              <a:noFill/>
            </a:ln>
            <a:effectLst/>
          </c:spPr>
          <c:invertIfNegative val="0"/>
          <c:cat>
            <c:strRef>
              <c:f>Sheet1!$A$2:$A$10</c:f>
              <c:strCache>
                <c:ptCount val="9"/>
                <c:pt idx="0">
                  <c:v>9. Are there any discrepancies within the plan?</c:v>
                </c:pt>
                <c:pt idx="1">
                  <c:v>8. Has the Commission received the relevant authorisation documents?</c:v>
                </c:pt>
                <c:pt idx="2">
                  <c:v>7. Is there a plan review schedule within the plan (i.e., at least one plan review)</c:v>
                </c:pt>
                <c:pt idx="3">
                  <c:v>6. Are there fade out plans for each restrictive practices?</c:v>
                </c:pt>
                <c:pt idx="4">
                  <c:v>5. Is there a protocol of use for all the restrictive practices listed in the plan?</c:v>
                </c:pt>
                <c:pt idx="5">
                  <c:v>4. Is there evidence of a plan to train implementing providers in the interventions</c:v>
                </c:pt>
                <c:pt idx="6">
                  <c:v>3. Has a functional behaviour assessment been completed that analyses all behaviour</c:v>
                </c:pt>
                <c:pt idx="7">
                  <c:v>2. Are the practitioner name, organisation and contact details present on the plan?</c:v>
                </c:pt>
                <c:pt idx="8">
                  <c:v>1. Did consultation with the person with disability take place?</c:v>
                </c:pt>
              </c:strCache>
            </c:strRef>
          </c:cat>
          <c:val>
            <c:numRef>
              <c:f>Sheet1!$B$2:$B$10</c:f>
              <c:numCache>
                <c:formatCode>General</c:formatCode>
                <c:ptCount val="9"/>
                <c:pt idx="0">
                  <c:v>1914</c:v>
                </c:pt>
                <c:pt idx="1">
                  <c:v>773</c:v>
                </c:pt>
                <c:pt idx="2">
                  <c:v>354</c:v>
                </c:pt>
                <c:pt idx="3">
                  <c:v>1059</c:v>
                </c:pt>
                <c:pt idx="4">
                  <c:v>447</c:v>
                </c:pt>
                <c:pt idx="5">
                  <c:v>1030</c:v>
                </c:pt>
                <c:pt idx="6">
                  <c:v>193</c:v>
                </c:pt>
                <c:pt idx="7" formatCode="#,##0">
                  <c:v>50</c:v>
                </c:pt>
                <c:pt idx="8" formatCode="#,##0">
                  <c:v>1873</c:v>
                </c:pt>
              </c:numCache>
            </c:numRef>
          </c:val>
          <c:extLst>
            <c:ext xmlns:c16="http://schemas.microsoft.com/office/drawing/2014/chart" uri="{C3380CC4-5D6E-409C-BE32-E72D297353CC}">
              <c16:uniqueId val="{00000000-D68A-470A-AC5C-DC08638CDAA9}"/>
            </c:ext>
          </c:extLst>
        </c:ser>
        <c:ser>
          <c:idx val="1"/>
          <c:order val="1"/>
          <c:tx>
            <c:strRef>
              <c:f>Sheet1!$C$1</c:f>
              <c:strCache>
                <c:ptCount val="1"/>
                <c:pt idx="0">
                  <c:v>Partial</c:v>
                </c:pt>
              </c:strCache>
            </c:strRef>
          </c:tx>
          <c:spPr>
            <a:solidFill>
              <a:schemeClr val="accent3"/>
            </a:solidFill>
            <a:ln>
              <a:noFill/>
            </a:ln>
            <a:effectLst/>
          </c:spPr>
          <c:invertIfNegative val="0"/>
          <c:cat>
            <c:strRef>
              <c:f>Sheet1!$A$2:$A$10</c:f>
              <c:strCache>
                <c:ptCount val="9"/>
                <c:pt idx="0">
                  <c:v>9. Are there any discrepancies within the plan?</c:v>
                </c:pt>
                <c:pt idx="1">
                  <c:v>8. Has the Commission received the relevant authorisation documents?</c:v>
                </c:pt>
                <c:pt idx="2">
                  <c:v>7. Is there a plan review schedule within the plan (i.e., at least one plan review)</c:v>
                </c:pt>
                <c:pt idx="3">
                  <c:v>6. Are there fade out plans for each restrictive practices?</c:v>
                </c:pt>
                <c:pt idx="4">
                  <c:v>5. Is there a protocol of use for all the restrictive practices listed in the plan?</c:v>
                </c:pt>
                <c:pt idx="5">
                  <c:v>4. Is there evidence of a plan to train implementing providers in the interventions</c:v>
                </c:pt>
                <c:pt idx="6">
                  <c:v>3. Has a functional behaviour assessment been completed that analyses all behaviour</c:v>
                </c:pt>
                <c:pt idx="7">
                  <c:v>2. Are the practitioner name, organisation and contact details present on the plan?</c:v>
                </c:pt>
                <c:pt idx="8">
                  <c:v>1. Did consultation with the person with disability take place?</c:v>
                </c:pt>
              </c:strCache>
            </c:strRef>
          </c:cat>
          <c:val>
            <c:numRef>
              <c:f>Sheet1!$C$2:$C$10</c:f>
              <c:numCache>
                <c:formatCode>General</c:formatCode>
                <c:ptCount val="9"/>
                <c:pt idx="1">
                  <c:v>224</c:v>
                </c:pt>
                <c:pt idx="2">
                  <c:v>673</c:v>
                </c:pt>
                <c:pt idx="3">
                  <c:v>445</c:v>
                </c:pt>
                <c:pt idx="4">
                  <c:v>295</c:v>
                </c:pt>
                <c:pt idx="5">
                  <c:v>472</c:v>
                </c:pt>
                <c:pt idx="6">
                  <c:v>165</c:v>
                </c:pt>
                <c:pt idx="7">
                  <c:v>856</c:v>
                </c:pt>
              </c:numCache>
            </c:numRef>
          </c:val>
          <c:extLst>
            <c:ext xmlns:c16="http://schemas.microsoft.com/office/drawing/2014/chart" uri="{C3380CC4-5D6E-409C-BE32-E72D297353CC}">
              <c16:uniqueId val="{00000001-D68A-470A-AC5C-DC08638CDAA9}"/>
            </c:ext>
          </c:extLst>
        </c:ser>
        <c:ser>
          <c:idx val="2"/>
          <c:order val="2"/>
          <c:tx>
            <c:strRef>
              <c:f>Sheet1!$D$1</c:f>
              <c:strCache>
                <c:ptCount val="1"/>
                <c:pt idx="0">
                  <c:v>Yes</c:v>
                </c:pt>
              </c:strCache>
            </c:strRef>
          </c:tx>
          <c:spPr>
            <a:solidFill>
              <a:schemeClr val="accent5"/>
            </a:solidFill>
            <a:ln>
              <a:noFill/>
            </a:ln>
            <a:effectLst/>
          </c:spPr>
          <c:invertIfNegative val="0"/>
          <c:cat>
            <c:strRef>
              <c:f>Sheet1!$A$2:$A$10</c:f>
              <c:strCache>
                <c:ptCount val="9"/>
                <c:pt idx="0">
                  <c:v>9. Are there any discrepancies within the plan?</c:v>
                </c:pt>
                <c:pt idx="1">
                  <c:v>8. Has the Commission received the relevant authorisation documents?</c:v>
                </c:pt>
                <c:pt idx="2">
                  <c:v>7. Is there a plan review schedule within the plan (i.e., at least one plan review)</c:v>
                </c:pt>
                <c:pt idx="3">
                  <c:v>6. Are there fade out plans for each restrictive practices?</c:v>
                </c:pt>
                <c:pt idx="4">
                  <c:v>5. Is there a protocol of use for all the restrictive practices listed in the plan?</c:v>
                </c:pt>
                <c:pt idx="5">
                  <c:v>4. Is there evidence of a plan to train implementing providers in the interventions</c:v>
                </c:pt>
                <c:pt idx="6">
                  <c:v>3. Has a functional behaviour assessment been completed that analyses all behaviour</c:v>
                </c:pt>
                <c:pt idx="7">
                  <c:v>2. Are the practitioner name, organisation and contact details present on the plan?</c:v>
                </c:pt>
                <c:pt idx="8">
                  <c:v>1. Did consultation with the person with disability take place?</c:v>
                </c:pt>
              </c:strCache>
            </c:strRef>
          </c:cat>
          <c:val>
            <c:numRef>
              <c:f>Sheet1!$D$2:$D$10</c:f>
              <c:numCache>
                <c:formatCode>General</c:formatCode>
                <c:ptCount val="9"/>
                <c:pt idx="0">
                  <c:v>830</c:v>
                </c:pt>
                <c:pt idx="1">
                  <c:v>1657</c:v>
                </c:pt>
                <c:pt idx="2">
                  <c:v>1717</c:v>
                </c:pt>
                <c:pt idx="3">
                  <c:v>1240</c:v>
                </c:pt>
                <c:pt idx="4">
                  <c:v>2002</c:v>
                </c:pt>
                <c:pt idx="5">
                  <c:v>1242</c:v>
                </c:pt>
                <c:pt idx="6">
                  <c:v>2386</c:v>
                </c:pt>
                <c:pt idx="7">
                  <c:v>1838</c:v>
                </c:pt>
                <c:pt idx="8" formatCode="#,##0">
                  <c:v>871</c:v>
                </c:pt>
              </c:numCache>
            </c:numRef>
          </c:val>
          <c:extLst>
            <c:ext xmlns:c16="http://schemas.microsoft.com/office/drawing/2014/chart" uri="{C3380CC4-5D6E-409C-BE32-E72D297353CC}">
              <c16:uniqueId val="{00000002-D68A-470A-AC5C-DC08638CDAA9}"/>
            </c:ext>
          </c:extLst>
        </c:ser>
        <c:ser>
          <c:idx val="3"/>
          <c:order val="3"/>
          <c:tx>
            <c:strRef>
              <c:f>Sheet1!$E$1</c:f>
              <c:strCache>
                <c:ptCount val="1"/>
                <c:pt idx="0">
                  <c:v>Not Applicable</c:v>
                </c:pt>
              </c:strCache>
            </c:strRef>
          </c:tx>
          <c:spPr>
            <a:solidFill>
              <a:schemeClr val="accent1">
                <a:lumMod val="60000"/>
              </a:schemeClr>
            </a:solidFill>
            <a:ln>
              <a:noFill/>
            </a:ln>
            <a:effectLst/>
          </c:spPr>
          <c:invertIfNegative val="0"/>
          <c:cat>
            <c:strRef>
              <c:f>Sheet1!$A$2:$A$10</c:f>
              <c:strCache>
                <c:ptCount val="9"/>
                <c:pt idx="0">
                  <c:v>9. Are there any discrepancies within the plan?</c:v>
                </c:pt>
                <c:pt idx="1">
                  <c:v>8. Has the Commission received the relevant authorisation documents?</c:v>
                </c:pt>
                <c:pt idx="2">
                  <c:v>7. Is there a plan review schedule within the plan (i.e., at least one plan review)</c:v>
                </c:pt>
                <c:pt idx="3">
                  <c:v>6. Are there fade out plans for each restrictive practices?</c:v>
                </c:pt>
                <c:pt idx="4">
                  <c:v>5. Is there a protocol of use for all the restrictive practices listed in the plan?</c:v>
                </c:pt>
                <c:pt idx="5">
                  <c:v>4. Is there evidence of a plan to train implementing providers in the interventions</c:v>
                </c:pt>
                <c:pt idx="6">
                  <c:v>3. Has a functional behaviour assessment been completed that analyses all behaviour</c:v>
                </c:pt>
                <c:pt idx="7">
                  <c:v>2. Are the practitioner name, organisation and contact details present on the plan?</c:v>
                </c:pt>
                <c:pt idx="8">
                  <c:v>1. Did consultation with the person with disability take place?</c:v>
                </c:pt>
              </c:strCache>
            </c:strRef>
          </c:cat>
          <c:val>
            <c:numRef>
              <c:f>Sheet1!$E$2:$E$10</c:f>
              <c:numCache>
                <c:formatCode>General</c:formatCode>
                <c:ptCount val="9"/>
                <c:pt idx="1">
                  <c:v>90</c:v>
                </c:pt>
              </c:numCache>
            </c:numRef>
          </c:val>
          <c:extLst>
            <c:ext xmlns:c16="http://schemas.microsoft.com/office/drawing/2014/chart" uri="{C3380CC4-5D6E-409C-BE32-E72D297353CC}">
              <c16:uniqueId val="{00000003-D68A-470A-AC5C-DC08638CDAA9}"/>
            </c:ext>
          </c:extLst>
        </c:ser>
        <c:dLbls>
          <c:showLegendKey val="0"/>
          <c:showVal val="0"/>
          <c:showCatName val="0"/>
          <c:showSerName val="0"/>
          <c:showPercent val="0"/>
          <c:showBubbleSize val="0"/>
        </c:dLbls>
        <c:gapWidth val="150"/>
        <c:overlap val="100"/>
        <c:axId val="691466944"/>
        <c:axId val="691467272"/>
      </c:barChart>
      <c:catAx>
        <c:axId val="691466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67272"/>
        <c:crosses val="autoZero"/>
        <c:auto val="1"/>
        <c:lblAlgn val="ctr"/>
        <c:lblOffset val="100"/>
        <c:noMultiLvlLbl val="0"/>
      </c:catAx>
      <c:valAx>
        <c:axId val="691467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91466944"/>
        <c:crosses val="autoZero"/>
        <c:crossBetween val="between"/>
      </c:valAx>
      <c:spPr>
        <a:noFill/>
        <a:ln>
          <a:noFill/>
        </a:ln>
        <a:effectLst/>
      </c:spPr>
    </c:plotArea>
    <c:legend>
      <c:legendPos val="b"/>
      <c:layout>
        <c:manualLayout>
          <c:xMode val="edge"/>
          <c:yMode val="edge"/>
          <c:x val="2.2571584904682994E-2"/>
          <c:y val="0.93744467917120111"/>
          <c:w val="0.38331077755905513"/>
          <c:h val="4.900518532744382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F31A-A0FC-488A-94F4-E5CC1AE4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8</Pages>
  <Words>1115</Words>
  <Characters>6068</Characters>
  <Application>Microsoft Office Word</Application>
  <DocSecurity>0</DocSecurity>
  <Lines>275</Lines>
  <Paragraphs>231</Paragraphs>
  <ScaleCrop>false</ScaleCrop>
  <HeadingPairs>
    <vt:vector size="2" baseType="variant">
      <vt:variant>
        <vt:lpstr>Title</vt:lpstr>
      </vt:variant>
      <vt:variant>
        <vt:i4>1</vt:i4>
      </vt:variant>
    </vt:vector>
  </HeadingPairs>
  <TitlesOfParts>
    <vt:vector size="1" baseType="lpstr">
      <vt:lpstr>Behaviour Support Plan Quality Public Paper</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Plan Quality Public Paper</dc:title>
  <dc:subject/>
  <dc:creator>RAMIREZ, Maria Charissa</dc:creator>
  <cp:keywords>[SEC=OFFICIAL]</cp:keywords>
  <dc:description/>
  <cp:lastModifiedBy>MARTIN, Jessica</cp:lastModifiedBy>
  <cp:revision>2</cp:revision>
  <dcterms:created xsi:type="dcterms:W3CDTF">2022-10-25T02:50:00Z</dcterms:created>
  <dcterms:modified xsi:type="dcterms:W3CDTF">2022-10-25T02:50:00Z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68278A72BD9B4FF38B28591249C80FF1</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2022-10-25T02:50:24Z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8B2BA077CFF330ABC903E2F6CFA66069</vt:lpwstr>
  </property>
  <property fmtid="{D5CDD505-2E9C-101B-9397-08002B2CF9AE}" pid="21" name="PM_Hash_Salt">
    <vt:lpwstr>CE31B25A6C3F8134015A75B11C5A4336</vt:lpwstr>
  </property>
  <property fmtid="{D5CDD505-2E9C-101B-9397-08002B2CF9AE}" pid="22" name="PM_Hash_SHA1">
    <vt:lpwstr>997CE92B7D3508C5D89F7A0666BF144629A5C567</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