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76BC" w14:textId="77777777" w:rsidR="004C652B" w:rsidRDefault="004C652B">
      <w:pPr>
        <w:rPr>
          <w:rFonts w:ascii="Times New Roman" w:hAnsi="Times New Roman"/>
          <w:b/>
        </w:rPr>
      </w:pPr>
      <w:bookmarkStart w:id="0" w:name="_GoBack"/>
      <w:bookmarkEnd w:id="0"/>
    </w:p>
    <w:p w14:paraId="1D75E81C" w14:textId="77777777" w:rsidR="005F3199" w:rsidRDefault="005F3199" w:rsidP="005F3199">
      <w:pPr>
        <w:jc w:val="center"/>
        <w:rPr>
          <w:rFonts w:ascii="Times New Roman" w:hAnsi="Times New Roman"/>
          <w:b/>
        </w:rPr>
      </w:pPr>
    </w:p>
    <w:p w14:paraId="4F563D88" w14:textId="77777777" w:rsidR="005F3199" w:rsidRDefault="005F3199" w:rsidP="005F3199">
      <w:pPr>
        <w:jc w:val="center"/>
        <w:rPr>
          <w:rFonts w:ascii="Times New Roman" w:hAnsi="Times New Roman"/>
          <w:b/>
        </w:rPr>
      </w:pPr>
    </w:p>
    <w:p w14:paraId="3A836F8F" w14:textId="77777777" w:rsidR="005F3199" w:rsidRDefault="005F3199" w:rsidP="005F3199">
      <w:pPr>
        <w:jc w:val="center"/>
        <w:rPr>
          <w:rFonts w:ascii="Times New Roman" w:hAnsi="Times New Roman"/>
          <w:b/>
        </w:rPr>
      </w:pPr>
    </w:p>
    <w:p w14:paraId="5F5BA307" w14:textId="77777777" w:rsidR="005F3199" w:rsidRDefault="005F3199" w:rsidP="005F3199">
      <w:pPr>
        <w:jc w:val="center"/>
        <w:rPr>
          <w:rFonts w:ascii="Times New Roman" w:hAnsi="Times New Roman"/>
          <w:b/>
        </w:rPr>
      </w:pPr>
    </w:p>
    <w:p w14:paraId="598A3AD4" w14:textId="77777777" w:rsidR="006E04EB" w:rsidRDefault="004C652B" w:rsidP="005F3199">
      <w:pPr>
        <w:jc w:val="center"/>
        <w:rPr>
          <w:rFonts w:ascii="Times New Roman" w:hAnsi="Times New Roman"/>
          <w:b/>
          <w:sz w:val="36"/>
        </w:rPr>
      </w:pPr>
      <w:r w:rsidRPr="005F3199">
        <w:rPr>
          <w:rFonts w:ascii="Times New Roman" w:hAnsi="Times New Roman"/>
          <w:b/>
          <w:sz w:val="36"/>
        </w:rPr>
        <w:t xml:space="preserve">SUMMARY </w:t>
      </w:r>
    </w:p>
    <w:p w14:paraId="26FFB773" w14:textId="77777777" w:rsidR="005F3199" w:rsidRPr="005F3199" w:rsidRDefault="005F3199" w:rsidP="005F3199">
      <w:pPr>
        <w:jc w:val="center"/>
        <w:rPr>
          <w:rFonts w:ascii="Times New Roman" w:hAnsi="Times New Roman"/>
          <w:b/>
          <w:sz w:val="36"/>
        </w:rPr>
      </w:pPr>
    </w:p>
    <w:p w14:paraId="3B2D87DA" w14:textId="77777777" w:rsidR="005F3199" w:rsidRDefault="00CC6616" w:rsidP="005F3199">
      <w:pPr>
        <w:jc w:val="center"/>
        <w:rPr>
          <w:rFonts w:ascii="Times New Roman" w:hAnsi="Times New Roman"/>
          <w:sz w:val="36"/>
        </w:rPr>
      </w:pPr>
      <w:r w:rsidRPr="005F3199">
        <w:rPr>
          <w:rFonts w:ascii="Times New Roman" w:hAnsi="Times New Roman"/>
          <w:sz w:val="36"/>
        </w:rPr>
        <w:t>Human Rights Violations of Disabled Ch</w:t>
      </w:r>
      <w:r w:rsidR="005F3199">
        <w:rPr>
          <w:rFonts w:ascii="Times New Roman" w:hAnsi="Times New Roman"/>
          <w:sz w:val="36"/>
        </w:rPr>
        <w:t>ildren in Australian Education s</w:t>
      </w:r>
      <w:r w:rsidRPr="005F3199">
        <w:rPr>
          <w:rFonts w:ascii="Times New Roman" w:hAnsi="Times New Roman"/>
          <w:sz w:val="36"/>
        </w:rPr>
        <w:t xml:space="preserve">ettings </w:t>
      </w:r>
    </w:p>
    <w:p w14:paraId="5CC17E33" w14:textId="77777777" w:rsidR="005F3199" w:rsidRPr="005F3199" w:rsidRDefault="005F3199" w:rsidP="005F3199">
      <w:pPr>
        <w:jc w:val="center"/>
        <w:rPr>
          <w:rFonts w:ascii="Times New Roman" w:hAnsi="Times New Roman"/>
          <w:sz w:val="36"/>
        </w:rPr>
      </w:pPr>
    </w:p>
    <w:p w14:paraId="061359BA" w14:textId="77777777" w:rsidR="005F3199" w:rsidRDefault="005F3199" w:rsidP="005F3199">
      <w:pPr>
        <w:jc w:val="center"/>
        <w:rPr>
          <w:rFonts w:ascii="Times New Roman" w:hAnsi="Times New Roman"/>
          <w:b/>
        </w:rPr>
      </w:pPr>
    </w:p>
    <w:p w14:paraId="2F65D6F7" w14:textId="77777777" w:rsidR="005F3199" w:rsidRDefault="005F3199" w:rsidP="005F3199">
      <w:pPr>
        <w:jc w:val="center"/>
        <w:rPr>
          <w:rFonts w:ascii="Times New Roman" w:hAnsi="Times New Roman"/>
          <w:b/>
        </w:rPr>
      </w:pPr>
    </w:p>
    <w:p w14:paraId="70F48384" w14:textId="77777777" w:rsidR="005F3199" w:rsidRDefault="005F3199" w:rsidP="005F3199">
      <w:pPr>
        <w:jc w:val="center"/>
        <w:rPr>
          <w:rFonts w:ascii="Times New Roman" w:hAnsi="Times New Roman"/>
          <w:b/>
        </w:rPr>
      </w:pPr>
    </w:p>
    <w:p w14:paraId="6F664B39" w14:textId="77777777" w:rsidR="005F3199" w:rsidRDefault="005F3199" w:rsidP="005F3199">
      <w:pPr>
        <w:jc w:val="center"/>
        <w:rPr>
          <w:rFonts w:ascii="Times New Roman" w:hAnsi="Times New Roman"/>
          <w:b/>
        </w:rPr>
      </w:pPr>
    </w:p>
    <w:p w14:paraId="4260B5AE" w14:textId="77777777" w:rsidR="005F3199" w:rsidRDefault="005F3199" w:rsidP="005F3199">
      <w:pPr>
        <w:jc w:val="center"/>
        <w:rPr>
          <w:rFonts w:ascii="Times New Roman" w:hAnsi="Times New Roman"/>
          <w:b/>
        </w:rPr>
      </w:pPr>
    </w:p>
    <w:p w14:paraId="1326A450" w14:textId="77777777" w:rsidR="005F3199" w:rsidRDefault="005F3199" w:rsidP="005F3199">
      <w:pPr>
        <w:jc w:val="center"/>
        <w:rPr>
          <w:rFonts w:ascii="Times New Roman" w:hAnsi="Times New Roman"/>
          <w:b/>
        </w:rPr>
      </w:pPr>
    </w:p>
    <w:p w14:paraId="4C7A4B35" w14:textId="77777777" w:rsidR="005F3199" w:rsidRDefault="005F3199" w:rsidP="005F3199">
      <w:pPr>
        <w:jc w:val="center"/>
        <w:rPr>
          <w:rFonts w:ascii="Times New Roman" w:hAnsi="Times New Roman"/>
          <w:b/>
        </w:rPr>
      </w:pPr>
    </w:p>
    <w:p w14:paraId="0AA4084C" w14:textId="77777777" w:rsidR="005F3199" w:rsidRDefault="005F3199" w:rsidP="005F3199">
      <w:pPr>
        <w:jc w:val="center"/>
        <w:rPr>
          <w:rFonts w:ascii="Times New Roman" w:hAnsi="Times New Roman"/>
          <w:b/>
        </w:rPr>
      </w:pPr>
    </w:p>
    <w:p w14:paraId="51DF0F7E" w14:textId="77777777" w:rsidR="005F3199" w:rsidRDefault="005F3199" w:rsidP="005F3199">
      <w:pPr>
        <w:jc w:val="center"/>
        <w:rPr>
          <w:rFonts w:ascii="Times New Roman" w:hAnsi="Times New Roman"/>
          <w:b/>
        </w:rPr>
      </w:pPr>
    </w:p>
    <w:p w14:paraId="75624457" w14:textId="77777777" w:rsidR="005F3199" w:rsidRDefault="005F3199" w:rsidP="005F3199">
      <w:pPr>
        <w:jc w:val="center"/>
        <w:rPr>
          <w:rFonts w:ascii="Times New Roman" w:hAnsi="Times New Roman"/>
          <w:b/>
        </w:rPr>
      </w:pPr>
    </w:p>
    <w:p w14:paraId="55E4A934" w14:textId="77777777" w:rsidR="00DB3D6C" w:rsidRDefault="00DB3D6C" w:rsidP="005F3199">
      <w:pPr>
        <w:jc w:val="center"/>
        <w:rPr>
          <w:rFonts w:ascii="Times New Roman" w:hAnsi="Times New Roman"/>
          <w:b/>
        </w:rPr>
      </w:pPr>
    </w:p>
    <w:p w14:paraId="403C0370" w14:textId="77777777" w:rsidR="00DB3D6C" w:rsidRDefault="00DB3D6C" w:rsidP="005F3199">
      <w:pPr>
        <w:jc w:val="center"/>
        <w:rPr>
          <w:rFonts w:ascii="Times New Roman" w:hAnsi="Times New Roman"/>
          <w:b/>
        </w:rPr>
      </w:pPr>
    </w:p>
    <w:p w14:paraId="595CA778" w14:textId="77777777" w:rsidR="00DB3D6C" w:rsidRDefault="00DB3D6C" w:rsidP="005F3199">
      <w:pPr>
        <w:jc w:val="center"/>
        <w:rPr>
          <w:rFonts w:ascii="Times New Roman" w:hAnsi="Times New Roman"/>
          <w:b/>
        </w:rPr>
      </w:pPr>
    </w:p>
    <w:p w14:paraId="529180E2" w14:textId="77777777" w:rsidR="00DB3D6C" w:rsidRDefault="00DB3D6C" w:rsidP="005F3199">
      <w:pPr>
        <w:jc w:val="center"/>
        <w:rPr>
          <w:rFonts w:ascii="Times New Roman" w:hAnsi="Times New Roman"/>
          <w:b/>
        </w:rPr>
      </w:pPr>
    </w:p>
    <w:p w14:paraId="330A3339" w14:textId="77777777" w:rsidR="00DB3D6C" w:rsidRDefault="00DB3D6C" w:rsidP="005F3199">
      <w:pPr>
        <w:jc w:val="center"/>
        <w:rPr>
          <w:rFonts w:ascii="Times New Roman" w:hAnsi="Times New Roman"/>
          <w:b/>
        </w:rPr>
      </w:pPr>
    </w:p>
    <w:p w14:paraId="295BD25F" w14:textId="77777777" w:rsidR="00DB3D6C" w:rsidRDefault="00DB3D6C" w:rsidP="005F3199">
      <w:pPr>
        <w:jc w:val="center"/>
        <w:rPr>
          <w:rFonts w:ascii="Times New Roman" w:hAnsi="Times New Roman"/>
          <w:b/>
        </w:rPr>
      </w:pPr>
    </w:p>
    <w:p w14:paraId="42A256FC" w14:textId="77777777" w:rsidR="00DB3D6C" w:rsidRDefault="00DB3D6C" w:rsidP="005F3199">
      <w:pPr>
        <w:jc w:val="center"/>
        <w:rPr>
          <w:rFonts w:ascii="Times New Roman" w:hAnsi="Times New Roman"/>
          <w:b/>
        </w:rPr>
      </w:pPr>
    </w:p>
    <w:p w14:paraId="68EFDE88" w14:textId="77777777" w:rsidR="00DB3D6C" w:rsidRDefault="00DB3D6C" w:rsidP="005F3199">
      <w:pPr>
        <w:jc w:val="center"/>
        <w:rPr>
          <w:rFonts w:ascii="Times New Roman" w:hAnsi="Times New Roman"/>
          <w:b/>
        </w:rPr>
      </w:pPr>
    </w:p>
    <w:p w14:paraId="5538F134" w14:textId="77777777" w:rsidR="005F3199" w:rsidRDefault="005F3199" w:rsidP="005F3199">
      <w:pPr>
        <w:jc w:val="center"/>
        <w:rPr>
          <w:rFonts w:ascii="Times New Roman" w:hAnsi="Times New Roman"/>
          <w:b/>
        </w:rPr>
      </w:pPr>
    </w:p>
    <w:p w14:paraId="048A4404" w14:textId="77777777" w:rsidR="005F3199" w:rsidRDefault="005F3199" w:rsidP="005F3199">
      <w:pPr>
        <w:jc w:val="center"/>
        <w:rPr>
          <w:rFonts w:ascii="Times New Roman" w:hAnsi="Times New Roman"/>
          <w:b/>
        </w:rPr>
      </w:pPr>
    </w:p>
    <w:p w14:paraId="4760050D" w14:textId="77777777" w:rsidR="005F3199" w:rsidRDefault="00DB3D6C" w:rsidP="005F3199">
      <w:pPr>
        <w:jc w:val="center"/>
        <w:rPr>
          <w:rFonts w:ascii="Times New Roman" w:hAnsi="Times New Roman"/>
          <w:b/>
        </w:rPr>
      </w:pPr>
      <w:r w:rsidRPr="00DB3D6C">
        <w:rPr>
          <w:rFonts w:ascii="Times New Roman" w:hAnsi="Times New Roman"/>
          <w:b/>
          <w:noProof/>
          <w:lang w:val="en-AU" w:eastAsia="en-AU"/>
        </w:rPr>
        <w:drawing>
          <wp:inline distT="0" distB="0" distL="0" distR="0" wp14:anchorId="105AA600" wp14:editId="009F120A">
            <wp:extent cx="5266055" cy="2395855"/>
            <wp:effectExtent l="25400" t="0" r="0" b="0"/>
            <wp:docPr id="5" name="Picture 4" descr=":logo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6.png"/>
                    <pic:cNvPicPr>
                      <a:picLocks noChangeAspect="1" noChangeArrowheads="1"/>
                    </pic:cNvPicPr>
                  </pic:nvPicPr>
                  <pic:blipFill>
                    <a:blip r:embed="rId7"/>
                    <a:srcRect/>
                    <a:stretch>
                      <a:fillRect/>
                    </a:stretch>
                  </pic:blipFill>
                  <pic:spPr bwMode="auto">
                    <a:xfrm>
                      <a:off x="0" y="0"/>
                      <a:ext cx="5266055" cy="2395855"/>
                    </a:xfrm>
                    <a:prstGeom prst="rect">
                      <a:avLst/>
                    </a:prstGeom>
                    <a:noFill/>
                    <a:ln w="9525">
                      <a:noFill/>
                      <a:miter lim="800000"/>
                      <a:headEnd/>
                      <a:tailEnd/>
                    </a:ln>
                  </pic:spPr>
                </pic:pic>
              </a:graphicData>
            </a:graphic>
          </wp:inline>
        </w:drawing>
      </w:r>
    </w:p>
    <w:p w14:paraId="49AE9505" w14:textId="77777777" w:rsidR="005F3199" w:rsidRDefault="005F3199" w:rsidP="005F3199">
      <w:pPr>
        <w:jc w:val="center"/>
        <w:rPr>
          <w:rFonts w:ascii="Times New Roman" w:hAnsi="Times New Roman"/>
          <w:b/>
        </w:rPr>
      </w:pPr>
    </w:p>
    <w:p w14:paraId="4997BDBA" w14:textId="77777777" w:rsidR="005F3199" w:rsidRDefault="005F3199" w:rsidP="005F3199">
      <w:pPr>
        <w:jc w:val="center"/>
        <w:rPr>
          <w:rFonts w:ascii="Times New Roman" w:hAnsi="Times New Roman"/>
          <w:b/>
        </w:rPr>
      </w:pPr>
    </w:p>
    <w:p w14:paraId="5D566B66" w14:textId="77777777" w:rsidR="005F3199" w:rsidRPr="005F3199" w:rsidRDefault="005F3199" w:rsidP="005F3199">
      <w:pPr>
        <w:jc w:val="center"/>
        <w:rPr>
          <w:rFonts w:ascii="Times New Roman" w:hAnsi="Times New Roman"/>
        </w:rPr>
      </w:pPr>
      <w:r w:rsidRPr="005F3199">
        <w:rPr>
          <w:rFonts w:ascii="Times New Roman" w:hAnsi="Times New Roman"/>
        </w:rPr>
        <w:t>Prepared by Autistic Family Collective</w:t>
      </w:r>
    </w:p>
    <w:p w14:paraId="5763184C" w14:textId="77777777" w:rsidR="005F3199" w:rsidRPr="005F3199" w:rsidRDefault="005F3199" w:rsidP="005F3199">
      <w:pPr>
        <w:jc w:val="center"/>
        <w:rPr>
          <w:rFonts w:ascii="Times New Roman" w:hAnsi="Times New Roman"/>
        </w:rPr>
      </w:pPr>
      <w:r w:rsidRPr="005F3199">
        <w:rPr>
          <w:rFonts w:ascii="Times New Roman" w:hAnsi="Times New Roman"/>
        </w:rPr>
        <w:t>June 2016</w:t>
      </w:r>
    </w:p>
    <w:p w14:paraId="0FA7F933" w14:textId="38BEBFC5" w:rsidR="00750594" w:rsidRDefault="006E2DD5" w:rsidP="0009577C">
      <w:pPr>
        <w:jc w:val="both"/>
        <w:rPr>
          <w:rFonts w:ascii="Times New Roman" w:hAnsi="Times New Roman"/>
        </w:rPr>
      </w:pPr>
      <w:r>
        <w:rPr>
          <w:rFonts w:ascii="Times New Roman" w:hAnsi="Times New Roman"/>
        </w:rPr>
        <w:lastRenderedPageBreak/>
        <w:t>In June 2016, six</w:t>
      </w:r>
      <w:r w:rsidR="005F3199">
        <w:rPr>
          <w:rFonts w:ascii="Times New Roman" w:hAnsi="Times New Roman"/>
        </w:rPr>
        <w:t xml:space="preserve"> </w:t>
      </w:r>
      <w:r w:rsidR="00750594">
        <w:rPr>
          <w:rFonts w:ascii="Times New Roman" w:hAnsi="Times New Roman"/>
        </w:rPr>
        <w:t>advocacy</w:t>
      </w:r>
      <w:r w:rsidR="005F3199">
        <w:rPr>
          <w:rFonts w:ascii="Times New Roman" w:hAnsi="Times New Roman"/>
        </w:rPr>
        <w:t xml:space="preserve"> </w:t>
      </w:r>
      <w:r>
        <w:rPr>
          <w:rFonts w:ascii="Times New Roman" w:hAnsi="Times New Roman"/>
        </w:rPr>
        <w:t>organis</w:t>
      </w:r>
      <w:r w:rsidR="005F3199">
        <w:rPr>
          <w:rFonts w:ascii="Times New Roman" w:hAnsi="Times New Roman"/>
        </w:rPr>
        <w:t xml:space="preserve">ations </w:t>
      </w:r>
      <w:r>
        <w:rPr>
          <w:rFonts w:ascii="Times New Roman" w:hAnsi="Times New Roman"/>
        </w:rPr>
        <w:t>(Autistic Family Collective, Autistic Self Advocacy Network Australia and New Zealand, People with Disability Australia, Children and Young People with Disability Australia, Bendigo Autistic A</w:t>
      </w:r>
      <w:r w:rsidR="006E04EB">
        <w:rPr>
          <w:rFonts w:ascii="Times New Roman" w:hAnsi="Times New Roman"/>
        </w:rPr>
        <w:t>dv</w:t>
      </w:r>
      <w:r w:rsidR="00485C6C">
        <w:rPr>
          <w:rFonts w:ascii="Times New Roman" w:hAnsi="Times New Roman"/>
        </w:rPr>
        <w:t>ocacy</w:t>
      </w:r>
      <w:r w:rsidR="006E04EB">
        <w:rPr>
          <w:rFonts w:ascii="Times New Roman" w:hAnsi="Times New Roman"/>
        </w:rPr>
        <w:t xml:space="preserve"> and Support Service, </w:t>
      </w:r>
      <w:r>
        <w:rPr>
          <w:rFonts w:ascii="Times New Roman" w:hAnsi="Times New Roman"/>
        </w:rPr>
        <w:t xml:space="preserve">United Voices for People with Disabilities) and one Disability Advocate (Ms. Julie Phillips) </w:t>
      </w:r>
      <w:r w:rsidR="005F3199">
        <w:rPr>
          <w:rFonts w:ascii="Times New Roman" w:hAnsi="Times New Roman"/>
        </w:rPr>
        <w:t>came together to gather information on human rights violations of disabled children in Australian educational settings in the</w:t>
      </w:r>
      <w:r>
        <w:rPr>
          <w:rFonts w:ascii="Times New Roman" w:hAnsi="Times New Roman"/>
        </w:rPr>
        <w:t xml:space="preserve"> last five years. </w:t>
      </w:r>
    </w:p>
    <w:p w14:paraId="3A0FC7FC" w14:textId="77777777" w:rsidR="00750594" w:rsidRDefault="00750594" w:rsidP="0009577C">
      <w:pPr>
        <w:jc w:val="both"/>
        <w:rPr>
          <w:rFonts w:ascii="Times New Roman" w:hAnsi="Times New Roman"/>
        </w:rPr>
      </w:pPr>
    </w:p>
    <w:p w14:paraId="0A77D9B4" w14:textId="77777777" w:rsidR="00750594" w:rsidRDefault="006E2DD5" w:rsidP="0009577C">
      <w:pPr>
        <w:jc w:val="both"/>
        <w:rPr>
          <w:rFonts w:ascii="Times New Roman" w:hAnsi="Times New Roman"/>
        </w:rPr>
      </w:pPr>
      <w:r>
        <w:rPr>
          <w:rFonts w:ascii="Times New Roman" w:hAnsi="Times New Roman"/>
        </w:rPr>
        <w:t>The purpose of gathering these cases was to send them to the United Nations Special Rapporteur on the Rights of Persons with a disability.</w:t>
      </w:r>
      <w:r w:rsidR="006E04EB">
        <w:rPr>
          <w:rFonts w:ascii="Times New Roman" w:hAnsi="Times New Roman"/>
        </w:rPr>
        <w:t xml:space="preserve"> </w:t>
      </w:r>
      <w:r w:rsidR="00750594" w:rsidRPr="00750594">
        <w:rPr>
          <w:rFonts w:ascii="Times New Roman" w:hAnsi="Times New Roman" w:cs="Lato-Regular"/>
          <w:color w:val="212224"/>
          <w:szCs w:val="30"/>
        </w:rPr>
        <w:t xml:space="preserve">Children's guardians were supported by participating advocacy groups to send information in the format most accessible </w:t>
      </w:r>
      <w:r w:rsidR="00750594">
        <w:rPr>
          <w:rFonts w:ascii="Times New Roman" w:hAnsi="Times New Roman" w:cs="Lato-Regular"/>
          <w:color w:val="212224"/>
          <w:szCs w:val="30"/>
        </w:rPr>
        <w:t xml:space="preserve">and least traumatising to their family. </w:t>
      </w:r>
      <w:r w:rsidR="00750594" w:rsidRPr="00750594">
        <w:rPr>
          <w:rFonts w:ascii="Times New Roman" w:hAnsi="Times New Roman" w:cs="Lato-Regular"/>
          <w:color w:val="212224"/>
          <w:szCs w:val="30"/>
        </w:rPr>
        <w:t xml:space="preserve">Case information was received through </w:t>
      </w:r>
      <w:r w:rsidR="00E21166">
        <w:rPr>
          <w:rFonts w:ascii="Times New Roman" w:hAnsi="Times New Roman" w:cs="Lato-Regular"/>
          <w:color w:val="212224"/>
          <w:szCs w:val="30"/>
        </w:rPr>
        <w:t xml:space="preserve">an </w:t>
      </w:r>
      <w:r w:rsidR="00750594" w:rsidRPr="00750594">
        <w:rPr>
          <w:rFonts w:ascii="Times New Roman" w:hAnsi="Times New Roman" w:cs="Lato-Regular"/>
          <w:color w:val="212224"/>
          <w:szCs w:val="30"/>
        </w:rPr>
        <w:t>online survey, phone interviews and emails with children's guardians and advocates (with legal guardian's consent).</w:t>
      </w:r>
    </w:p>
    <w:p w14:paraId="32E788FC" w14:textId="77777777" w:rsidR="00750594" w:rsidRDefault="00750594" w:rsidP="0009577C">
      <w:pPr>
        <w:jc w:val="both"/>
        <w:rPr>
          <w:rFonts w:ascii="Times New Roman" w:hAnsi="Times New Roman"/>
        </w:rPr>
      </w:pPr>
    </w:p>
    <w:p w14:paraId="777F0708" w14:textId="77777777" w:rsidR="005F3199" w:rsidRPr="0009577C" w:rsidRDefault="005F3199" w:rsidP="0009577C">
      <w:pPr>
        <w:jc w:val="both"/>
        <w:rPr>
          <w:rFonts w:ascii="Times New Roman" w:hAnsi="Times New Roman"/>
          <w:b/>
        </w:rPr>
      </w:pPr>
      <w:r>
        <w:rPr>
          <w:rFonts w:ascii="Times New Roman" w:hAnsi="Times New Roman"/>
        </w:rPr>
        <w:t xml:space="preserve">An </w:t>
      </w:r>
      <w:r w:rsidR="006E2DD5">
        <w:rPr>
          <w:rFonts w:ascii="Times New Roman" w:hAnsi="Times New Roman"/>
        </w:rPr>
        <w:t>information sheet and online survey were</w:t>
      </w:r>
      <w:r>
        <w:rPr>
          <w:rFonts w:ascii="Times New Roman" w:hAnsi="Times New Roman"/>
        </w:rPr>
        <w:t xml:space="preserve"> created and promoted </w:t>
      </w:r>
      <w:r w:rsidR="006E2DD5">
        <w:rPr>
          <w:rFonts w:ascii="Times New Roman" w:hAnsi="Times New Roman"/>
        </w:rPr>
        <w:t>through participating</w:t>
      </w:r>
      <w:r>
        <w:rPr>
          <w:rFonts w:ascii="Times New Roman" w:hAnsi="Times New Roman"/>
        </w:rPr>
        <w:t xml:space="preserve"> </w:t>
      </w:r>
      <w:r w:rsidR="006E2DD5">
        <w:rPr>
          <w:rFonts w:ascii="Times New Roman" w:hAnsi="Times New Roman"/>
        </w:rPr>
        <w:t>organis</w:t>
      </w:r>
      <w:r>
        <w:rPr>
          <w:rFonts w:ascii="Times New Roman" w:hAnsi="Times New Roman"/>
        </w:rPr>
        <w:t>ations</w:t>
      </w:r>
      <w:r w:rsidR="006E2DD5">
        <w:rPr>
          <w:rFonts w:ascii="Times New Roman" w:hAnsi="Times New Roman"/>
        </w:rPr>
        <w:t xml:space="preserve">’ websites and social media platforms. </w:t>
      </w:r>
      <w:r>
        <w:rPr>
          <w:rFonts w:ascii="Times New Roman" w:hAnsi="Times New Roman"/>
        </w:rPr>
        <w:t xml:space="preserve"> </w:t>
      </w:r>
    </w:p>
    <w:p w14:paraId="5F3DB5CA" w14:textId="77777777" w:rsidR="00CC6616" w:rsidRPr="005F3199" w:rsidRDefault="00CC6616">
      <w:pPr>
        <w:rPr>
          <w:rFonts w:ascii="Times New Roman" w:hAnsi="Times New Roman"/>
        </w:rPr>
      </w:pPr>
    </w:p>
    <w:p w14:paraId="5D73F833" w14:textId="77777777" w:rsidR="00CC6616" w:rsidRPr="005206E1" w:rsidRDefault="00AB6F70">
      <w:pPr>
        <w:rPr>
          <w:rFonts w:ascii="Times New Roman" w:hAnsi="Times New Roman"/>
        </w:rPr>
      </w:pPr>
      <w:r>
        <w:rPr>
          <w:rFonts w:ascii="Times New Roman" w:hAnsi="Times New Roman"/>
        </w:rPr>
        <w:t xml:space="preserve">A </w:t>
      </w:r>
      <w:r w:rsidR="00CC6616" w:rsidRPr="005206E1">
        <w:rPr>
          <w:rFonts w:ascii="Times New Roman" w:hAnsi="Times New Roman"/>
        </w:rPr>
        <w:t xml:space="preserve">total of </w:t>
      </w:r>
      <w:r w:rsidR="00CC6616" w:rsidRPr="005F3199">
        <w:rPr>
          <w:rFonts w:ascii="Times New Roman" w:hAnsi="Times New Roman"/>
          <w:b/>
        </w:rPr>
        <w:t>55 cases</w:t>
      </w:r>
      <w:r w:rsidR="00CC6616" w:rsidRPr="005206E1">
        <w:rPr>
          <w:rFonts w:ascii="Times New Roman" w:hAnsi="Times New Roman"/>
        </w:rPr>
        <w:t xml:space="preserve"> </w:t>
      </w:r>
      <w:r>
        <w:rPr>
          <w:rFonts w:ascii="Times New Roman" w:hAnsi="Times New Roman"/>
        </w:rPr>
        <w:t xml:space="preserve">were reported </w:t>
      </w:r>
      <w:r w:rsidR="00CC6616" w:rsidRPr="005206E1">
        <w:rPr>
          <w:rFonts w:ascii="Times New Roman" w:hAnsi="Times New Roman"/>
        </w:rPr>
        <w:t xml:space="preserve">from around Australia, with the breakdown of States/Territories where the abuse </w:t>
      </w:r>
      <w:r w:rsidR="006E04EB">
        <w:rPr>
          <w:rFonts w:ascii="Times New Roman" w:hAnsi="Times New Roman"/>
        </w:rPr>
        <w:t>was reported</w:t>
      </w:r>
      <w:r w:rsidR="00CC6616" w:rsidRPr="005206E1">
        <w:rPr>
          <w:rFonts w:ascii="Times New Roman" w:hAnsi="Times New Roman"/>
        </w:rPr>
        <w:t xml:space="preserve"> </w:t>
      </w:r>
      <w:r w:rsidR="005151D4" w:rsidRPr="005206E1">
        <w:rPr>
          <w:rFonts w:ascii="Times New Roman" w:hAnsi="Times New Roman"/>
        </w:rPr>
        <w:t>as follows</w:t>
      </w:r>
      <w:r w:rsidR="00CC6616" w:rsidRPr="005206E1">
        <w:rPr>
          <w:rFonts w:ascii="Times New Roman" w:hAnsi="Times New Roman"/>
        </w:rPr>
        <w:t>:</w:t>
      </w:r>
    </w:p>
    <w:p w14:paraId="450592FF" w14:textId="77777777" w:rsidR="00CC6616" w:rsidRPr="005206E1" w:rsidRDefault="00CC6616">
      <w:pPr>
        <w:rPr>
          <w:rFonts w:ascii="Times New Roman" w:hAnsi="Times New Roman"/>
        </w:rPr>
      </w:pPr>
    </w:p>
    <w:p w14:paraId="01E50BA5" w14:textId="6CD42B55" w:rsidR="00CC6616" w:rsidRPr="005206E1" w:rsidRDefault="00CC6616">
      <w:pPr>
        <w:rPr>
          <w:rFonts w:ascii="Times New Roman" w:hAnsi="Times New Roman"/>
        </w:rPr>
      </w:pPr>
    </w:p>
    <w:p w14:paraId="4AFC6599" w14:textId="77E1DD12" w:rsidR="00F63763" w:rsidRPr="005206E1" w:rsidRDefault="009F4E00">
      <w:pPr>
        <w:rPr>
          <w:rFonts w:ascii="Times New Roman" w:hAnsi="Times New Roman"/>
        </w:rPr>
      </w:pPr>
      <w:r w:rsidRPr="009F4E00">
        <w:rPr>
          <w:rFonts w:ascii="Times New Roman" w:hAnsi="Times New Roman"/>
          <w:noProof/>
          <w:lang w:val="en-AU" w:eastAsia="en-AU"/>
        </w:rPr>
        <w:drawing>
          <wp:inline distT="0" distB="0" distL="0" distR="0" wp14:anchorId="7183BA69" wp14:editId="3C6E366F">
            <wp:extent cx="5270500" cy="3074458"/>
            <wp:effectExtent l="0" t="0" r="12700" b="24765"/>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347E7B" w14:textId="71D10FE5" w:rsidR="00AD16A7" w:rsidRPr="00C6425E" w:rsidRDefault="00AD16A7" w:rsidP="005151D4">
      <w:pPr>
        <w:rPr>
          <w:rFonts w:ascii="Times New Roman" w:hAnsi="Times New Roman"/>
          <w:i/>
          <w:sz w:val="20"/>
          <w:szCs w:val="20"/>
        </w:rPr>
      </w:pPr>
      <w:r w:rsidRPr="00C6425E">
        <w:rPr>
          <w:rFonts w:ascii="Times New Roman" w:hAnsi="Times New Roman"/>
          <w:i/>
          <w:sz w:val="20"/>
          <w:szCs w:val="20"/>
        </w:rPr>
        <w:t>Figure 1: States/Territories where abuse reported</w:t>
      </w:r>
    </w:p>
    <w:p w14:paraId="15AB9072" w14:textId="7C5BC404" w:rsidR="00AD16A7" w:rsidRPr="00C6425E" w:rsidRDefault="00AD16A7" w:rsidP="005151D4">
      <w:pPr>
        <w:rPr>
          <w:rFonts w:ascii="Times New Roman" w:hAnsi="Times New Roman"/>
          <w:i/>
          <w:sz w:val="20"/>
          <w:szCs w:val="20"/>
        </w:rPr>
      </w:pPr>
      <w:r w:rsidRPr="00C6425E">
        <w:rPr>
          <w:rFonts w:ascii="Times New Roman" w:hAnsi="Times New Roman"/>
          <w:i/>
          <w:sz w:val="20"/>
          <w:szCs w:val="20"/>
        </w:rPr>
        <w:t xml:space="preserve">Australian Capital Territory 2%, Tasmania 0%, South Australia 9%, Western Australia 7%, Northern Territory 0%, Queensland 22%, New South Wales 16%, Victoria 44% </w:t>
      </w:r>
    </w:p>
    <w:p w14:paraId="4BE518DD" w14:textId="77777777" w:rsidR="00AD16A7" w:rsidRDefault="00AD16A7" w:rsidP="005151D4">
      <w:pPr>
        <w:rPr>
          <w:rFonts w:ascii="Times New Roman" w:hAnsi="Times New Roman"/>
        </w:rPr>
      </w:pPr>
    </w:p>
    <w:p w14:paraId="3E251E5E" w14:textId="77777777" w:rsidR="009D4AE8" w:rsidRDefault="00CC6616">
      <w:pPr>
        <w:rPr>
          <w:rFonts w:ascii="Times New Roman" w:hAnsi="Times New Roman"/>
          <w:b/>
        </w:rPr>
      </w:pPr>
      <w:r w:rsidRPr="005206E1">
        <w:rPr>
          <w:rFonts w:ascii="Times New Roman" w:hAnsi="Times New Roman"/>
        </w:rPr>
        <w:t>Of the cases reported, 78</w:t>
      </w:r>
      <w:r w:rsidR="007102ED">
        <w:rPr>
          <w:rFonts w:ascii="Times New Roman" w:hAnsi="Times New Roman"/>
        </w:rPr>
        <w:t>.1</w:t>
      </w:r>
      <w:r w:rsidRPr="005206E1">
        <w:rPr>
          <w:rFonts w:ascii="Times New Roman" w:hAnsi="Times New Roman"/>
        </w:rPr>
        <w:t xml:space="preserve">% </w:t>
      </w:r>
      <w:r w:rsidR="00511D4D">
        <w:rPr>
          <w:rFonts w:ascii="Times New Roman" w:hAnsi="Times New Roman"/>
        </w:rPr>
        <w:t>(</w:t>
      </w:r>
      <w:r w:rsidR="007102ED">
        <w:rPr>
          <w:rFonts w:ascii="Times New Roman" w:hAnsi="Times New Roman"/>
        </w:rPr>
        <w:t>n=43</w:t>
      </w:r>
      <w:r w:rsidR="00511D4D">
        <w:rPr>
          <w:rFonts w:ascii="Times New Roman" w:hAnsi="Times New Roman"/>
        </w:rPr>
        <w:t xml:space="preserve">) </w:t>
      </w:r>
      <w:r w:rsidR="00F3143D">
        <w:rPr>
          <w:rFonts w:ascii="Times New Roman" w:hAnsi="Times New Roman"/>
        </w:rPr>
        <w:t>were</w:t>
      </w:r>
      <w:r w:rsidRPr="005206E1">
        <w:rPr>
          <w:rFonts w:ascii="Times New Roman" w:hAnsi="Times New Roman"/>
        </w:rPr>
        <w:t xml:space="preserve"> boys, 20% </w:t>
      </w:r>
      <w:r w:rsidR="00511D4D">
        <w:rPr>
          <w:rFonts w:ascii="Times New Roman" w:hAnsi="Times New Roman"/>
        </w:rPr>
        <w:t>(</w:t>
      </w:r>
      <w:r w:rsidR="007102ED">
        <w:rPr>
          <w:rFonts w:ascii="Times New Roman" w:hAnsi="Times New Roman"/>
        </w:rPr>
        <w:t>n=11</w:t>
      </w:r>
      <w:r w:rsidR="00511D4D">
        <w:rPr>
          <w:rFonts w:ascii="Times New Roman" w:hAnsi="Times New Roman"/>
        </w:rPr>
        <w:t xml:space="preserve">) </w:t>
      </w:r>
      <w:r w:rsidR="00F3143D">
        <w:rPr>
          <w:rFonts w:ascii="Times New Roman" w:hAnsi="Times New Roman"/>
        </w:rPr>
        <w:t>were</w:t>
      </w:r>
      <w:r w:rsidR="007102ED">
        <w:rPr>
          <w:rFonts w:ascii="Times New Roman" w:hAnsi="Times New Roman"/>
        </w:rPr>
        <w:t xml:space="preserve"> girls and 1.9</w:t>
      </w:r>
      <w:r w:rsidRPr="005206E1">
        <w:rPr>
          <w:rFonts w:ascii="Times New Roman" w:hAnsi="Times New Roman"/>
        </w:rPr>
        <w:t xml:space="preserve">% </w:t>
      </w:r>
      <w:r w:rsidR="00511D4D">
        <w:rPr>
          <w:rFonts w:ascii="Times New Roman" w:hAnsi="Times New Roman"/>
        </w:rPr>
        <w:t>(</w:t>
      </w:r>
      <w:r w:rsidR="007102ED">
        <w:rPr>
          <w:rFonts w:ascii="Times New Roman" w:hAnsi="Times New Roman"/>
        </w:rPr>
        <w:t>n=1</w:t>
      </w:r>
      <w:r w:rsidR="00511D4D">
        <w:rPr>
          <w:rFonts w:ascii="Times New Roman" w:hAnsi="Times New Roman"/>
        </w:rPr>
        <w:t>)</w:t>
      </w:r>
      <w:r w:rsidR="007102ED">
        <w:rPr>
          <w:rFonts w:ascii="Times New Roman" w:hAnsi="Times New Roman"/>
        </w:rPr>
        <w:t xml:space="preserve"> </w:t>
      </w:r>
      <w:r w:rsidR="00F3143D">
        <w:rPr>
          <w:rFonts w:ascii="Times New Roman" w:hAnsi="Times New Roman"/>
        </w:rPr>
        <w:t>were</w:t>
      </w:r>
      <w:r w:rsidRPr="005206E1">
        <w:rPr>
          <w:rFonts w:ascii="Times New Roman" w:hAnsi="Times New Roman"/>
        </w:rPr>
        <w:t xml:space="preserve"> </w:t>
      </w:r>
      <w:r w:rsidR="00287DDE">
        <w:rPr>
          <w:rFonts w:ascii="Times New Roman" w:hAnsi="Times New Roman"/>
        </w:rPr>
        <w:t>transgender</w:t>
      </w:r>
      <w:r w:rsidR="00462F6B">
        <w:rPr>
          <w:rFonts w:ascii="Times New Roman" w:hAnsi="Times New Roman"/>
        </w:rPr>
        <w:t xml:space="preserve">. </w:t>
      </w:r>
      <w:r w:rsidR="009736C4">
        <w:rPr>
          <w:rFonts w:ascii="Times New Roman" w:hAnsi="Times New Roman"/>
        </w:rPr>
        <w:t xml:space="preserve"> </w:t>
      </w:r>
      <w:r w:rsidR="00E21166">
        <w:rPr>
          <w:rFonts w:ascii="Times New Roman" w:hAnsi="Times New Roman"/>
        </w:rPr>
        <w:t xml:space="preserve">All of the children </w:t>
      </w:r>
      <w:r w:rsidR="00F3143D">
        <w:rPr>
          <w:rFonts w:ascii="Times New Roman" w:hAnsi="Times New Roman"/>
        </w:rPr>
        <w:t>were</w:t>
      </w:r>
      <w:r w:rsidR="00E21166">
        <w:rPr>
          <w:rFonts w:ascii="Times New Roman" w:hAnsi="Times New Roman"/>
        </w:rPr>
        <w:t xml:space="preserve"> Australian citizen</w:t>
      </w:r>
      <w:r w:rsidR="006D124D">
        <w:rPr>
          <w:rFonts w:ascii="Times New Roman" w:hAnsi="Times New Roman"/>
        </w:rPr>
        <w:t>s</w:t>
      </w:r>
      <w:r w:rsidR="00E21166">
        <w:rPr>
          <w:rFonts w:ascii="Times New Roman" w:hAnsi="Times New Roman"/>
        </w:rPr>
        <w:t xml:space="preserve"> and </w:t>
      </w:r>
      <w:r w:rsidR="0066621B">
        <w:rPr>
          <w:rFonts w:ascii="Times New Roman" w:hAnsi="Times New Roman"/>
        </w:rPr>
        <w:t xml:space="preserve">5% (n=9) of the children were identified as Aboriginal and Torres Strait Islander. </w:t>
      </w:r>
      <w:r w:rsidRPr="005206E1">
        <w:rPr>
          <w:rFonts w:ascii="Times New Roman" w:hAnsi="Times New Roman"/>
        </w:rPr>
        <w:t>Children were aged between 5 – 19</w:t>
      </w:r>
      <w:r w:rsidR="00242B32">
        <w:rPr>
          <w:rFonts w:ascii="Times New Roman" w:hAnsi="Times New Roman"/>
        </w:rPr>
        <w:t xml:space="preserve"> years old at the time of incident/s</w:t>
      </w:r>
      <w:r w:rsidR="00511D4D">
        <w:rPr>
          <w:rFonts w:ascii="Times New Roman" w:hAnsi="Times New Roman"/>
        </w:rPr>
        <w:t xml:space="preserve">, </w:t>
      </w:r>
      <w:r w:rsidR="00242B32">
        <w:rPr>
          <w:rFonts w:ascii="Times New Roman" w:hAnsi="Times New Roman"/>
        </w:rPr>
        <w:t>with 7.</w:t>
      </w:r>
      <w:r w:rsidR="00E21166">
        <w:rPr>
          <w:rFonts w:ascii="Times New Roman" w:hAnsi="Times New Roman"/>
        </w:rPr>
        <w:t>5</w:t>
      </w:r>
      <w:r w:rsidR="00242B32">
        <w:rPr>
          <w:rFonts w:ascii="Times New Roman" w:hAnsi="Times New Roman"/>
        </w:rPr>
        <w:t xml:space="preserve"> years old</w:t>
      </w:r>
      <w:r w:rsidR="00511D4D" w:rsidRPr="00242B32">
        <w:rPr>
          <w:rFonts w:ascii="Times New Roman" w:hAnsi="Times New Roman"/>
        </w:rPr>
        <w:t xml:space="preserve"> the mean age</w:t>
      </w:r>
      <w:r w:rsidR="00511D4D">
        <w:rPr>
          <w:rFonts w:ascii="Times New Roman" w:hAnsi="Times New Roman"/>
        </w:rPr>
        <w:t xml:space="preserve">. </w:t>
      </w:r>
      <w:r w:rsidR="00242B32">
        <w:rPr>
          <w:rFonts w:ascii="Times New Roman" w:hAnsi="Times New Roman"/>
        </w:rPr>
        <w:t>36.3% (n=20) of children experienced multiple incidents over multiple ages.</w:t>
      </w:r>
      <w:r w:rsidRPr="005206E1">
        <w:rPr>
          <w:rFonts w:ascii="Times New Roman" w:hAnsi="Times New Roman"/>
        </w:rPr>
        <w:t xml:space="preserve"> </w:t>
      </w:r>
      <w:r w:rsidR="007102ED">
        <w:rPr>
          <w:rFonts w:ascii="Times New Roman" w:hAnsi="Times New Roman"/>
        </w:rPr>
        <w:t>79.6</w:t>
      </w:r>
      <w:r w:rsidR="005151D4" w:rsidRPr="005206E1">
        <w:rPr>
          <w:rFonts w:ascii="Times New Roman" w:hAnsi="Times New Roman"/>
        </w:rPr>
        <w:t xml:space="preserve">% </w:t>
      </w:r>
      <w:r w:rsidR="00511D4D">
        <w:rPr>
          <w:rFonts w:ascii="Times New Roman" w:hAnsi="Times New Roman"/>
        </w:rPr>
        <w:t>(</w:t>
      </w:r>
      <w:r w:rsidR="007102ED">
        <w:rPr>
          <w:rFonts w:ascii="Times New Roman" w:hAnsi="Times New Roman"/>
        </w:rPr>
        <w:t>n=43</w:t>
      </w:r>
      <w:r w:rsidR="00511D4D">
        <w:rPr>
          <w:rFonts w:ascii="Times New Roman" w:hAnsi="Times New Roman"/>
        </w:rPr>
        <w:t xml:space="preserve">) </w:t>
      </w:r>
      <w:r w:rsidR="005151D4" w:rsidRPr="005206E1">
        <w:rPr>
          <w:rFonts w:ascii="Times New Roman" w:hAnsi="Times New Roman"/>
        </w:rPr>
        <w:t xml:space="preserve">of </w:t>
      </w:r>
      <w:r w:rsidR="007102ED">
        <w:rPr>
          <w:rFonts w:ascii="Times New Roman" w:hAnsi="Times New Roman"/>
        </w:rPr>
        <w:t>incidents occurred</w:t>
      </w:r>
      <w:r w:rsidR="005151D4" w:rsidRPr="005206E1">
        <w:rPr>
          <w:rFonts w:ascii="Times New Roman" w:hAnsi="Times New Roman"/>
        </w:rPr>
        <w:t xml:space="preserve"> in a p</w:t>
      </w:r>
      <w:r w:rsidR="007102ED">
        <w:rPr>
          <w:rFonts w:ascii="Times New Roman" w:hAnsi="Times New Roman"/>
        </w:rPr>
        <w:t>ublic educational setting and 20.4</w:t>
      </w:r>
      <w:r w:rsidR="005151D4" w:rsidRPr="005206E1">
        <w:rPr>
          <w:rFonts w:ascii="Times New Roman" w:hAnsi="Times New Roman"/>
        </w:rPr>
        <w:t xml:space="preserve">% </w:t>
      </w:r>
      <w:r w:rsidR="00511D4D">
        <w:rPr>
          <w:rFonts w:ascii="Times New Roman" w:hAnsi="Times New Roman"/>
        </w:rPr>
        <w:t>(</w:t>
      </w:r>
      <w:r w:rsidR="007102ED">
        <w:rPr>
          <w:rFonts w:ascii="Times New Roman" w:hAnsi="Times New Roman"/>
        </w:rPr>
        <w:t>n=11</w:t>
      </w:r>
      <w:r w:rsidR="00511D4D">
        <w:rPr>
          <w:rFonts w:ascii="Times New Roman" w:hAnsi="Times New Roman"/>
        </w:rPr>
        <w:t xml:space="preserve">) </w:t>
      </w:r>
      <w:r w:rsidR="005151D4" w:rsidRPr="005206E1">
        <w:rPr>
          <w:rFonts w:ascii="Times New Roman" w:hAnsi="Times New Roman"/>
        </w:rPr>
        <w:t>i</w:t>
      </w:r>
      <w:r w:rsidR="00462F6B">
        <w:rPr>
          <w:rFonts w:ascii="Times New Roman" w:hAnsi="Times New Roman"/>
        </w:rPr>
        <w:t>n a private educational setting</w:t>
      </w:r>
      <w:r w:rsidR="009736C4">
        <w:rPr>
          <w:rFonts w:ascii="Times New Roman" w:hAnsi="Times New Roman"/>
        </w:rPr>
        <w:t>.</w:t>
      </w:r>
      <w:r w:rsidR="005151D4" w:rsidRPr="005206E1">
        <w:rPr>
          <w:rFonts w:ascii="Times New Roman" w:hAnsi="Times New Roman"/>
        </w:rPr>
        <w:t xml:space="preserve"> </w:t>
      </w:r>
    </w:p>
    <w:p w14:paraId="055058A6" w14:textId="77777777" w:rsidR="009D4AE8" w:rsidRDefault="009D4AE8">
      <w:pPr>
        <w:rPr>
          <w:rFonts w:ascii="Times New Roman" w:hAnsi="Times New Roman"/>
          <w:b/>
        </w:rPr>
      </w:pPr>
    </w:p>
    <w:p w14:paraId="162C4CE9" w14:textId="310AC5BB" w:rsidR="009F4E00" w:rsidRPr="009D4AE8" w:rsidRDefault="005151D4">
      <w:pPr>
        <w:rPr>
          <w:rFonts w:ascii="Times New Roman" w:hAnsi="Times New Roman"/>
        </w:rPr>
      </w:pPr>
      <w:r w:rsidRPr="005206E1">
        <w:rPr>
          <w:rFonts w:ascii="Times New Roman" w:hAnsi="Times New Roman"/>
          <w:b/>
        </w:rPr>
        <w:t>Disabilities</w:t>
      </w:r>
    </w:p>
    <w:p w14:paraId="3C8F4DD4" w14:textId="77777777" w:rsidR="009F4E00" w:rsidRDefault="009F4E00">
      <w:pPr>
        <w:rPr>
          <w:rFonts w:ascii="Times New Roman" w:hAnsi="Times New Roman"/>
          <w:b/>
        </w:rPr>
      </w:pPr>
    </w:p>
    <w:p w14:paraId="60A986EB" w14:textId="77777777" w:rsidR="009F4E00" w:rsidRDefault="009F4E00">
      <w:pPr>
        <w:rPr>
          <w:rFonts w:ascii="Times New Roman" w:hAnsi="Times New Roman"/>
          <w:b/>
        </w:rPr>
      </w:pPr>
      <w:r w:rsidRPr="009F4E00">
        <w:rPr>
          <w:rFonts w:ascii="Times New Roman" w:hAnsi="Times New Roman"/>
          <w:b/>
          <w:noProof/>
          <w:highlight w:val="yellow"/>
          <w:lang w:val="en-AU" w:eastAsia="en-AU"/>
        </w:rPr>
        <w:drawing>
          <wp:inline distT="0" distB="0" distL="0" distR="0" wp14:anchorId="5ADEDB55" wp14:editId="329131EF">
            <wp:extent cx="5270500" cy="3074458"/>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A9DB75" w14:textId="1E5F8A0D" w:rsidR="005151D4" w:rsidRPr="00C6425E" w:rsidRDefault="009D4AE8">
      <w:pPr>
        <w:rPr>
          <w:rFonts w:ascii="Times New Roman" w:hAnsi="Times New Roman"/>
          <w:i/>
          <w:sz w:val="21"/>
          <w:szCs w:val="21"/>
        </w:rPr>
      </w:pPr>
      <w:r w:rsidRPr="00C6425E">
        <w:rPr>
          <w:rFonts w:ascii="Times New Roman" w:hAnsi="Times New Roman"/>
          <w:i/>
          <w:sz w:val="21"/>
          <w:szCs w:val="21"/>
        </w:rPr>
        <w:t>Figure 2: Disability</w:t>
      </w:r>
    </w:p>
    <w:p w14:paraId="25E00654" w14:textId="523FDDC7" w:rsidR="009D4AE8" w:rsidRPr="00C6425E" w:rsidRDefault="009D4AE8">
      <w:pPr>
        <w:rPr>
          <w:rFonts w:ascii="Times New Roman" w:hAnsi="Times New Roman"/>
          <w:b/>
          <w:sz w:val="21"/>
          <w:szCs w:val="21"/>
        </w:rPr>
      </w:pPr>
      <w:r w:rsidRPr="00C6425E">
        <w:rPr>
          <w:rFonts w:ascii="Times New Roman" w:hAnsi="Times New Roman"/>
          <w:i/>
          <w:sz w:val="21"/>
          <w:szCs w:val="21"/>
        </w:rPr>
        <w:t>OCD 5%, ID 14%, SPD 14%, ODD 16%, Language 16%, Anxiety 29%, ADHD 29%, Autism 93%</w:t>
      </w:r>
    </w:p>
    <w:p w14:paraId="3C427D0E" w14:textId="77777777" w:rsidR="009F4E00" w:rsidRDefault="009F4E00">
      <w:pPr>
        <w:rPr>
          <w:rFonts w:ascii="Times New Roman" w:hAnsi="Times New Roman"/>
        </w:rPr>
      </w:pPr>
    </w:p>
    <w:p w14:paraId="5DC44419" w14:textId="77777777" w:rsidR="00CC6616" w:rsidRPr="005206E1" w:rsidRDefault="00CC6616">
      <w:pPr>
        <w:rPr>
          <w:rFonts w:ascii="Times New Roman" w:hAnsi="Times New Roman"/>
        </w:rPr>
      </w:pPr>
      <w:r w:rsidRPr="005206E1">
        <w:rPr>
          <w:rFonts w:ascii="Times New Roman" w:hAnsi="Times New Roman"/>
        </w:rPr>
        <w:t xml:space="preserve">Wide ranges of disabilities were represented, including physical, developmental and neurological.  </w:t>
      </w:r>
      <w:r w:rsidR="00AF5CDD" w:rsidRPr="005206E1">
        <w:rPr>
          <w:rFonts w:ascii="Times New Roman" w:hAnsi="Times New Roman"/>
        </w:rPr>
        <w:t xml:space="preserve">69% </w:t>
      </w:r>
      <w:r w:rsidR="00511D4D">
        <w:rPr>
          <w:rFonts w:ascii="Times New Roman" w:hAnsi="Times New Roman"/>
        </w:rPr>
        <w:t>(</w:t>
      </w:r>
      <w:r w:rsidR="007102ED">
        <w:rPr>
          <w:rFonts w:ascii="Times New Roman" w:hAnsi="Times New Roman"/>
        </w:rPr>
        <w:t>n=38</w:t>
      </w:r>
      <w:r w:rsidR="00511D4D">
        <w:rPr>
          <w:rFonts w:ascii="Times New Roman" w:hAnsi="Times New Roman"/>
        </w:rPr>
        <w:t xml:space="preserve">) </w:t>
      </w:r>
      <w:r w:rsidR="00AF5CDD" w:rsidRPr="005206E1">
        <w:rPr>
          <w:rFonts w:ascii="Times New Roman" w:hAnsi="Times New Roman"/>
        </w:rPr>
        <w:t xml:space="preserve">of children had multiple disabilities. </w:t>
      </w:r>
      <w:r w:rsidR="004C652B">
        <w:rPr>
          <w:rFonts w:ascii="Times New Roman" w:hAnsi="Times New Roman"/>
        </w:rPr>
        <w:t>The top eight</w:t>
      </w:r>
      <w:r w:rsidR="009736C4">
        <w:rPr>
          <w:rFonts w:ascii="Times New Roman" w:hAnsi="Times New Roman"/>
        </w:rPr>
        <w:t xml:space="preserve"> disabilities represented were</w:t>
      </w:r>
      <w:r w:rsidR="00E21166">
        <w:rPr>
          <w:rFonts w:ascii="Times New Roman" w:hAnsi="Times New Roman"/>
        </w:rPr>
        <w:t xml:space="preserve"> </w:t>
      </w:r>
      <w:r w:rsidR="009736C4">
        <w:rPr>
          <w:rFonts w:ascii="Times New Roman" w:hAnsi="Times New Roman"/>
        </w:rPr>
        <w:t>Autism</w:t>
      </w:r>
      <w:r w:rsidR="00E21166">
        <w:rPr>
          <w:rFonts w:ascii="Times New Roman" w:hAnsi="Times New Roman"/>
        </w:rPr>
        <w:t xml:space="preserve"> (93%)</w:t>
      </w:r>
      <w:r w:rsidR="009736C4">
        <w:rPr>
          <w:rFonts w:ascii="Times New Roman" w:hAnsi="Times New Roman"/>
        </w:rPr>
        <w:t xml:space="preserve">, Attention Deficit Hyperactivity Disorder (ADHD), Anxiety, Language delays or impairments, Oppositional Defiance Disorder (ODD), Sensory Processing Disorder (SPD), Intellectual Disability (ID) and Obsessive Compulsive Disorder (OCD). </w:t>
      </w:r>
    </w:p>
    <w:p w14:paraId="4D754DE5" w14:textId="77777777" w:rsidR="00CC6616" w:rsidRPr="005206E1" w:rsidRDefault="00CC6616">
      <w:pPr>
        <w:rPr>
          <w:rFonts w:ascii="Times New Roman" w:hAnsi="Times New Roman"/>
        </w:rPr>
      </w:pPr>
    </w:p>
    <w:p w14:paraId="283A29BA" w14:textId="77777777" w:rsidR="00E21166" w:rsidRDefault="00E21166">
      <w:pPr>
        <w:rPr>
          <w:rFonts w:ascii="Times New Roman" w:hAnsi="Times New Roman"/>
          <w:b/>
        </w:rPr>
      </w:pPr>
    </w:p>
    <w:p w14:paraId="5A5F8EBF" w14:textId="77777777" w:rsidR="005151D4" w:rsidRPr="005206E1" w:rsidRDefault="005151D4">
      <w:pPr>
        <w:rPr>
          <w:rFonts w:ascii="Times New Roman" w:hAnsi="Times New Roman"/>
          <w:b/>
        </w:rPr>
      </w:pPr>
      <w:r w:rsidRPr="005206E1">
        <w:rPr>
          <w:rFonts w:ascii="Times New Roman" w:hAnsi="Times New Roman"/>
          <w:b/>
        </w:rPr>
        <w:t>Contexts</w:t>
      </w:r>
    </w:p>
    <w:p w14:paraId="1EF42ED9" w14:textId="77777777" w:rsidR="00AF5CDD" w:rsidRPr="005206E1" w:rsidRDefault="00AF5CDD">
      <w:pPr>
        <w:rPr>
          <w:rFonts w:ascii="Times New Roman" w:hAnsi="Times New Roman"/>
          <w:b/>
        </w:rPr>
      </w:pPr>
    </w:p>
    <w:p w14:paraId="18B5FF2B" w14:textId="77777777" w:rsidR="00830FD4" w:rsidRPr="005206E1" w:rsidRDefault="00830FD4" w:rsidP="00830FD4">
      <w:pPr>
        <w:rPr>
          <w:rFonts w:ascii="Times New Roman" w:hAnsi="Times New Roman"/>
        </w:rPr>
      </w:pPr>
      <w:r w:rsidRPr="005206E1">
        <w:rPr>
          <w:rFonts w:ascii="Times New Roman" w:hAnsi="Times New Roman"/>
        </w:rPr>
        <w:t xml:space="preserve">Exploring the context and circumstances of abuse, parents reported that schools were unequipped to work with their disabled child. Of particular note is the common belief amongst parents that teaching staff did not understand autism, did not permit the use of accommodations </w:t>
      </w:r>
      <w:r w:rsidR="005151D4" w:rsidRPr="005206E1">
        <w:rPr>
          <w:rFonts w:ascii="Times New Roman" w:hAnsi="Times New Roman"/>
        </w:rPr>
        <w:t xml:space="preserve">for autistic students </w:t>
      </w:r>
      <w:r w:rsidRPr="005206E1">
        <w:rPr>
          <w:rFonts w:ascii="Times New Roman" w:hAnsi="Times New Roman"/>
        </w:rPr>
        <w:t>(such as ear phones and other i</w:t>
      </w:r>
      <w:r w:rsidR="005151D4" w:rsidRPr="005206E1">
        <w:rPr>
          <w:rFonts w:ascii="Times New Roman" w:hAnsi="Times New Roman"/>
        </w:rPr>
        <w:t>tems to reduce sensory overload)</w:t>
      </w:r>
      <w:r w:rsidRPr="005206E1">
        <w:rPr>
          <w:rFonts w:ascii="Times New Roman" w:hAnsi="Times New Roman"/>
        </w:rPr>
        <w:t xml:space="preserve">, and instead frequently referred to their autistic children as ‘just naughty’. </w:t>
      </w:r>
    </w:p>
    <w:p w14:paraId="190AE147" w14:textId="77777777" w:rsidR="00830FD4" w:rsidRPr="005206E1" w:rsidRDefault="00830FD4" w:rsidP="00AF5CDD">
      <w:pPr>
        <w:rPr>
          <w:rFonts w:ascii="Times New Roman" w:hAnsi="Times New Roman"/>
        </w:rPr>
      </w:pPr>
    </w:p>
    <w:p w14:paraId="51710D4D" w14:textId="77777777" w:rsidR="005151D4" w:rsidRPr="005206E1" w:rsidRDefault="00E21166" w:rsidP="00AF5CDD">
      <w:pPr>
        <w:rPr>
          <w:rFonts w:ascii="Times New Roman" w:hAnsi="Times New Roman"/>
          <w:b/>
        </w:rPr>
      </w:pPr>
      <w:r>
        <w:rPr>
          <w:rFonts w:ascii="Times New Roman" w:hAnsi="Times New Roman"/>
          <w:b/>
        </w:rPr>
        <w:br w:type="page"/>
      </w:r>
      <w:r w:rsidR="005151D4" w:rsidRPr="005206E1">
        <w:rPr>
          <w:rFonts w:ascii="Times New Roman" w:hAnsi="Times New Roman"/>
          <w:b/>
        </w:rPr>
        <w:t>Violations</w:t>
      </w:r>
    </w:p>
    <w:p w14:paraId="791818C3" w14:textId="77777777" w:rsidR="005151D4" w:rsidRPr="005206E1" w:rsidRDefault="005151D4" w:rsidP="00AF5CDD">
      <w:pPr>
        <w:rPr>
          <w:rFonts w:ascii="Times New Roman" w:hAnsi="Times New Roman"/>
          <w:b/>
        </w:rPr>
      </w:pPr>
    </w:p>
    <w:p w14:paraId="2C7AF038" w14:textId="77777777" w:rsidR="00AF5CDD" w:rsidRPr="005206E1" w:rsidRDefault="00AF5CDD" w:rsidP="00AF5CDD">
      <w:pPr>
        <w:rPr>
          <w:rFonts w:ascii="Times New Roman" w:hAnsi="Times New Roman"/>
        </w:rPr>
      </w:pPr>
      <w:r w:rsidRPr="005206E1">
        <w:rPr>
          <w:rFonts w:ascii="Times New Roman" w:hAnsi="Times New Roman"/>
        </w:rPr>
        <w:t>Each child experienced multiple violations, with categories illustrated below:</w:t>
      </w:r>
    </w:p>
    <w:p w14:paraId="035E6618" w14:textId="77777777" w:rsidR="00AF5CDD" w:rsidRPr="005206E1" w:rsidRDefault="00AF5CDD" w:rsidP="00AF5CDD">
      <w:pPr>
        <w:rPr>
          <w:rFonts w:ascii="Times New Roman" w:hAnsi="Times New Roman"/>
        </w:rPr>
      </w:pPr>
    </w:p>
    <w:p w14:paraId="577F60B6" w14:textId="77777777" w:rsidR="00AF5CDD" w:rsidRPr="005206E1" w:rsidRDefault="009F4E00">
      <w:pPr>
        <w:rPr>
          <w:rFonts w:ascii="Times New Roman" w:hAnsi="Times New Roman"/>
        </w:rPr>
      </w:pPr>
      <w:r w:rsidRPr="009F4E00">
        <w:rPr>
          <w:rFonts w:ascii="Times New Roman" w:hAnsi="Times New Roman"/>
          <w:noProof/>
          <w:lang w:val="en-AU" w:eastAsia="en-AU"/>
        </w:rPr>
        <w:drawing>
          <wp:inline distT="0" distB="0" distL="0" distR="0" wp14:anchorId="07356070" wp14:editId="31867A7A">
            <wp:extent cx="5270500" cy="3274907"/>
            <wp:effectExtent l="0" t="0" r="12700" b="1905"/>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712802" w14:textId="095B4672" w:rsidR="00B35DEC" w:rsidRPr="00C6425E" w:rsidRDefault="00B35DEC">
      <w:pPr>
        <w:rPr>
          <w:rFonts w:ascii="Times New Roman" w:hAnsi="Times New Roman"/>
          <w:i/>
          <w:sz w:val="21"/>
          <w:szCs w:val="21"/>
        </w:rPr>
      </w:pPr>
      <w:r w:rsidRPr="00C6425E">
        <w:rPr>
          <w:rFonts w:ascii="Times New Roman" w:hAnsi="Times New Roman"/>
          <w:i/>
          <w:sz w:val="21"/>
          <w:szCs w:val="21"/>
        </w:rPr>
        <w:t>Figure3: Type of abuse reported</w:t>
      </w:r>
    </w:p>
    <w:p w14:paraId="0CAAA3D1" w14:textId="42C46E8D" w:rsidR="00B35DEC" w:rsidRPr="00C6425E" w:rsidRDefault="00B35DEC">
      <w:pPr>
        <w:rPr>
          <w:rFonts w:ascii="Times New Roman" w:hAnsi="Times New Roman"/>
          <w:sz w:val="21"/>
          <w:szCs w:val="21"/>
        </w:rPr>
      </w:pPr>
      <w:r w:rsidRPr="00C6425E">
        <w:rPr>
          <w:rFonts w:ascii="Times New Roman" w:hAnsi="Times New Roman"/>
          <w:i/>
          <w:sz w:val="21"/>
          <w:szCs w:val="21"/>
        </w:rPr>
        <w:t>Cruel, inhuman or degrading treatment 62%, Torture 16%, Detainment- by supervision 51%, Detainment-physical structure 35%, Restraint- physical 58%, Restraint- mechanical 11%, Assault 36%, Neglect or maltreatment 35%</w:t>
      </w:r>
    </w:p>
    <w:p w14:paraId="3518C9EA" w14:textId="77777777" w:rsidR="00B35DEC" w:rsidRDefault="00B35DEC">
      <w:pPr>
        <w:rPr>
          <w:rFonts w:ascii="Times New Roman" w:hAnsi="Times New Roman"/>
        </w:rPr>
      </w:pPr>
    </w:p>
    <w:p w14:paraId="58465037" w14:textId="77777777" w:rsidR="00A76822" w:rsidRPr="005206E1" w:rsidRDefault="00830FD4">
      <w:pPr>
        <w:rPr>
          <w:rFonts w:ascii="Times New Roman" w:hAnsi="Times New Roman"/>
        </w:rPr>
      </w:pPr>
      <w:r w:rsidRPr="005206E1">
        <w:rPr>
          <w:rFonts w:ascii="Times New Roman" w:hAnsi="Times New Roman"/>
        </w:rPr>
        <w:t xml:space="preserve">34.5% </w:t>
      </w:r>
      <w:r w:rsidR="00511D4D">
        <w:rPr>
          <w:rFonts w:ascii="Times New Roman" w:hAnsi="Times New Roman"/>
        </w:rPr>
        <w:t>(</w:t>
      </w:r>
      <w:r w:rsidR="007102ED">
        <w:rPr>
          <w:rFonts w:ascii="Times New Roman" w:hAnsi="Times New Roman"/>
        </w:rPr>
        <w:t>n=19</w:t>
      </w:r>
      <w:r w:rsidR="00511D4D">
        <w:rPr>
          <w:rFonts w:ascii="Times New Roman" w:hAnsi="Times New Roman"/>
        </w:rPr>
        <w:t xml:space="preserve">) </w:t>
      </w:r>
      <w:r w:rsidRPr="005206E1">
        <w:rPr>
          <w:rFonts w:ascii="Times New Roman" w:hAnsi="Times New Roman"/>
        </w:rPr>
        <w:t xml:space="preserve">of children experienced </w:t>
      </w:r>
      <w:r w:rsidRPr="005206E1">
        <w:rPr>
          <w:rFonts w:ascii="Times New Roman" w:hAnsi="Times New Roman"/>
          <w:b/>
        </w:rPr>
        <w:t>neglect or maltreatment</w:t>
      </w:r>
      <w:r w:rsidRPr="005206E1">
        <w:rPr>
          <w:rFonts w:ascii="Times New Roman" w:hAnsi="Times New Roman"/>
        </w:rPr>
        <w:t>, including having no educati</w:t>
      </w:r>
      <w:r w:rsidR="009736C4">
        <w:rPr>
          <w:rFonts w:ascii="Times New Roman" w:hAnsi="Times New Roman"/>
        </w:rPr>
        <w:t>o</w:t>
      </w:r>
      <w:r w:rsidR="00E66CBC">
        <w:rPr>
          <w:rFonts w:ascii="Times New Roman" w:hAnsi="Times New Roman"/>
        </w:rPr>
        <w:t xml:space="preserve">nal plan developed for them, </w:t>
      </w:r>
      <w:r w:rsidRPr="005206E1">
        <w:rPr>
          <w:rFonts w:ascii="Times New Roman" w:hAnsi="Times New Roman"/>
        </w:rPr>
        <w:t>being left unattended for entire school terms</w:t>
      </w:r>
      <w:r w:rsidR="00E66CBC">
        <w:rPr>
          <w:rFonts w:ascii="Times New Roman" w:hAnsi="Times New Roman"/>
        </w:rPr>
        <w:t xml:space="preserve"> with no schoolwork to complete and being placed on reduced school attendance hours.</w:t>
      </w:r>
    </w:p>
    <w:p w14:paraId="1C8040A0" w14:textId="77777777" w:rsidR="00A76822" w:rsidRPr="005206E1" w:rsidRDefault="00A76822">
      <w:pPr>
        <w:rPr>
          <w:rFonts w:ascii="Times New Roman" w:hAnsi="Times New Roman"/>
        </w:rPr>
      </w:pPr>
    </w:p>
    <w:p w14:paraId="7F3BEA27" w14:textId="77777777" w:rsidR="00830FD4" w:rsidRPr="005206E1" w:rsidRDefault="00830FD4" w:rsidP="00830FD4">
      <w:pPr>
        <w:rPr>
          <w:rFonts w:ascii="Times New Roman" w:hAnsi="Times New Roman"/>
        </w:rPr>
      </w:pPr>
      <w:r w:rsidRPr="005206E1">
        <w:rPr>
          <w:rFonts w:ascii="Times New Roman" w:hAnsi="Times New Roman"/>
        </w:rPr>
        <w:t xml:space="preserve">36.3% </w:t>
      </w:r>
      <w:r w:rsidR="00511D4D">
        <w:rPr>
          <w:rFonts w:ascii="Times New Roman" w:hAnsi="Times New Roman"/>
        </w:rPr>
        <w:t>(</w:t>
      </w:r>
      <w:r w:rsidR="007102ED">
        <w:rPr>
          <w:rFonts w:ascii="Times New Roman" w:hAnsi="Times New Roman"/>
        </w:rPr>
        <w:t>n=20</w:t>
      </w:r>
      <w:r w:rsidR="00511D4D">
        <w:rPr>
          <w:rFonts w:ascii="Times New Roman" w:hAnsi="Times New Roman"/>
        </w:rPr>
        <w:t xml:space="preserve">) </w:t>
      </w:r>
      <w:r w:rsidRPr="005206E1">
        <w:rPr>
          <w:rFonts w:ascii="Times New Roman" w:hAnsi="Times New Roman"/>
        </w:rPr>
        <w:t xml:space="preserve">of parents reported that staff </w:t>
      </w:r>
      <w:r w:rsidRPr="005206E1">
        <w:rPr>
          <w:rFonts w:ascii="Times New Roman" w:hAnsi="Times New Roman"/>
          <w:b/>
        </w:rPr>
        <w:t>physically assaulted</w:t>
      </w:r>
      <w:r w:rsidRPr="005206E1">
        <w:rPr>
          <w:rFonts w:ascii="Times New Roman" w:hAnsi="Times New Roman"/>
        </w:rPr>
        <w:t xml:space="preserve"> their children, including being punched, pulled and kicked. Many children who were assaulted required medical treatment</w:t>
      </w:r>
      <w:r w:rsidR="009736C4">
        <w:rPr>
          <w:rFonts w:ascii="Times New Roman" w:hAnsi="Times New Roman"/>
        </w:rPr>
        <w:t xml:space="preserve"> for their injuries, some for lengthy periods of time.</w:t>
      </w:r>
      <w:r w:rsidRPr="005206E1">
        <w:rPr>
          <w:rFonts w:ascii="Times New Roman" w:hAnsi="Times New Roman"/>
        </w:rPr>
        <w:t xml:space="preserve"> </w:t>
      </w:r>
    </w:p>
    <w:p w14:paraId="3892C491" w14:textId="77777777" w:rsidR="00830FD4" w:rsidRPr="005206E1" w:rsidRDefault="00830FD4">
      <w:pPr>
        <w:rPr>
          <w:rFonts w:ascii="Times New Roman" w:hAnsi="Times New Roman"/>
        </w:rPr>
      </w:pPr>
    </w:p>
    <w:p w14:paraId="718BC5D1" w14:textId="77777777" w:rsidR="00830FD4" w:rsidRPr="005206E1" w:rsidRDefault="00A76822">
      <w:pPr>
        <w:rPr>
          <w:rFonts w:ascii="Times New Roman" w:hAnsi="Times New Roman"/>
        </w:rPr>
      </w:pPr>
      <w:r w:rsidRPr="005206E1">
        <w:rPr>
          <w:rFonts w:ascii="Times New Roman" w:hAnsi="Times New Roman"/>
        </w:rPr>
        <w:t>Children in this s</w:t>
      </w:r>
      <w:r w:rsidR="00830FD4" w:rsidRPr="005206E1">
        <w:rPr>
          <w:rFonts w:ascii="Times New Roman" w:hAnsi="Times New Roman"/>
        </w:rPr>
        <w:t xml:space="preserve">tudy were frequently </w:t>
      </w:r>
      <w:r w:rsidR="00830FD4" w:rsidRPr="005206E1">
        <w:rPr>
          <w:rFonts w:ascii="Times New Roman" w:hAnsi="Times New Roman"/>
          <w:b/>
        </w:rPr>
        <w:t>restrained</w:t>
      </w:r>
      <w:r w:rsidR="00830FD4" w:rsidRPr="005206E1">
        <w:rPr>
          <w:rFonts w:ascii="Times New Roman" w:hAnsi="Times New Roman"/>
        </w:rPr>
        <w:t xml:space="preserve"> both mechanically, such as being held down with belts or chairs (10.9%</w:t>
      </w:r>
      <w:r w:rsidR="007102ED">
        <w:rPr>
          <w:rFonts w:ascii="Times New Roman" w:hAnsi="Times New Roman"/>
        </w:rPr>
        <w:t>, n=6</w:t>
      </w:r>
      <w:r w:rsidR="00830FD4" w:rsidRPr="005206E1">
        <w:rPr>
          <w:rFonts w:ascii="Times New Roman" w:hAnsi="Times New Roman"/>
        </w:rPr>
        <w:t>) and physically, by being sat on or held (58.1%</w:t>
      </w:r>
      <w:r w:rsidR="007102ED">
        <w:rPr>
          <w:rFonts w:ascii="Times New Roman" w:hAnsi="Times New Roman"/>
        </w:rPr>
        <w:t>, n=32</w:t>
      </w:r>
      <w:r w:rsidR="00830FD4" w:rsidRPr="005206E1">
        <w:rPr>
          <w:rFonts w:ascii="Times New Roman" w:hAnsi="Times New Roman"/>
        </w:rPr>
        <w:t xml:space="preserve">). </w:t>
      </w:r>
    </w:p>
    <w:p w14:paraId="1A30C649" w14:textId="77777777" w:rsidR="00830FD4" w:rsidRPr="005206E1" w:rsidRDefault="00830FD4">
      <w:pPr>
        <w:rPr>
          <w:rFonts w:ascii="Times New Roman" w:hAnsi="Times New Roman"/>
        </w:rPr>
      </w:pPr>
    </w:p>
    <w:p w14:paraId="5C338C99" w14:textId="77777777" w:rsidR="00A76822" w:rsidRPr="005206E1" w:rsidRDefault="00830FD4">
      <w:pPr>
        <w:rPr>
          <w:rFonts w:ascii="Times New Roman" w:hAnsi="Times New Roman"/>
        </w:rPr>
      </w:pPr>
      <w:r w:rsidRPr="005206E1">
        <w:rPr>
          <w:rFonts w:ascii="Times New Roman" w:hAnsi="Times New Roman"/>
        </w:rPr>
        <w:t xml:space="preserve">50.9% </w:t>
      </w:r>
      <w:r w:rsidR="00511D4D">
        <w:rPr>
          <w:rFonts w:ascii="Times New Roman" w:hAnsi="Times New Roman"/>
        </w:rPr>
        <w:t>(</w:t>
      </w:r>
      <w:r w:rsidR="007102ED">
        <w:rPr>
          <w:rFonts w:ascii="Times New Roman" w:hAnsi="Times New Roman"/>
        </w:rPr>
        <w:t>n=28</w:t>
      </w:r>
      <w:r w:rsidR="00511D4D">
        <w:rPr>
          <w:rFonts w:ascii="Times New Roman" w:hAnsi="Times New Roman"/>
        </w:rPr>
        <w:t xml:space="preserve">) </w:t>
      </w:r>
      <w:r w:rsidRPr="005206E1">
        <w:rPr>
          <w:rFonts w:ascii="Times New Roman" w:hAnsi="Times New Roman"/>
        </w:rPr>
        <w:t xml:space="preserve">of children were </w:t>
      </w:r>
      <w:r w:rsidRPr="005206E1">
        <w:rPr>
          <w:rFonts w:ascii="Times New Roman" w:hAnsi="Times New Roman"/>
          <w:b/>
        </w:rPr>
        <w:t>detained</w:t>
      </w:r>
      <w:r w:rsidR="00A76822" w:rsidRPr="005206E1">
        <w:rPr>
          <w:rFonts w:ascii="Times New Roman" w:hAnsi="Times New Roman"/>
        </w:rPr>
        <w:t xml:space="preserve"> in unsuitable</w:t>
      </w:r>
      <w:r w:rsidRPr="005206E1">
        <w:rPr>
          <w:rFonts w:ascii="Times New Roman" w:hAnsi="Times New Roman"/>
        </w:rPr>
        <w:t xml:space="preserve"> and unsafe</w:t>
      </w:r>
      <w:r w:rsidR="00A76822" w:rsidRPr="005206E1">
        <w:rPr>
          <w:rFonts w:ascii="Times New Roman" w:hAnsi="Times New Roman"/>
        </w:rPr>
        <w:t xml:space="preserve"> structures </w:t>
      </w:r>
      <w:r w:rsidRPr="005206E1">
        <w:rPr>
          <w:rFonts w:ascii="Times New Roman" w:hAnsi="Times New Roman"/>
        </w:rPr>
        <w:t>and</w:t>
      </w:r>
      <w:r w:rsidR="00A76822" w:rsidRPr="005206E1">
        <w:rPr>
          <w:rFonts w:ascii="Times New Roman" w:hAnsi="Times New Roman"/>
        </w:rPr>
        <w:t xml:space="preserve"> were prevented from leaving. </w:t>
      </w:r>
      <w:r w:rsidRPr="005206E1">
        <w:rPr>
          <w:rFonts w:ascii="Times New Roman" w:hAnsi="Times New Roman"/>
        </w:rPr>
        <w:t xml:space="preserve">Schools had various names for these structures including ‘calm rooms’, ‘time out spaces’ and ‘playgrounds’. In reality, </w:t>
      </w:r>
      <w:r w:rsidR="00C06B22">
        <w:rPr>
          <w:rFonts w:ascii="Times New Roman" w:hAnsi="Times New Roman"/>
        </w:rPr>
        <w:t xml:space="preserve">parents reported that </w:t>
      </w:r>
      <w:r w:rsidRPr="005206E1">
        <w:rPr>
          <w:rFonts w:ascii="Times New Roman" w:hAnsi="Times New Roman"/>
        </w:rPr>
        <w:t xml:space="preserve">these spaces were storerooms, cupboards and unused buildings with windows blacked out and lights shut off. </w:t>
      </w:r>
      <w:r w:rsidR="00A76822" w:rsidRPr="005206E1">
        <w:rPr>
          <w:rFonts w:ascii="Times New Roman" w:hAnsi="Times New Roman"/>
        </w:rPr>
        <w:t xml:space="preserve">A range of serious physical injuries resulted from this practice, including extensive bruising, cuts to the body and vomiting. Emotional injuries resulting from these practices were reported as extensive, and included severe anxiety, school refusal, sleep disorders, Post Traumatic Stress Disorder </w:t>
      </w:r>
      <w:r w:rsidR="00C06B22">
        <w:rPr>
          <w:rFonts w:ascii="Times New Roman" w:hAnsi="Times New Roman"/>
        </w:rPr>
        <w:t xml:space="preserve">(PTSD) </w:t>
      </w:r>
      <w:r w:rsidR="00A76822" w:rsidRPr="005206E1">
        <w:rPr>
          <w:rFonts w:ascii="Times New Roman" w:hAnsi="Times New Roman"/>
        </w:rPr>
        <w:t xml:space="preserve">and suicide attempts. </w:t>
      </w:r>
    </w:p>
    <w:p w14:paraId="40A5BE9F" w14:textId="77777777" w:rsidR="00A76822" w:rsidRPr="005206E1" w:rsidRDefault="00A76822">
      <w:pPr>
        <w:rPr>
          <w:rFonts w:ascii="Times New Roman" w:hAnsi="Times New Roman"/>
        </w:rPr>
      </w:pPr>
    </w:p>
    <w:p w14:paraId="318EA8F6" w14:textId="77777777" w:rsidR="00830FD4" w:rsidRPr="005206E1" w:rsidRDefault="00830FD4">
      <w:pPr>
        <w:rPr>
          <w:rFonts w:ascii="Times New Roman" w:hAnsi="Times New Roman"/>
        </w:rPr>
      </w:pPr>
      <w:r w:rsidRPr="005206E1">
        <w:rPr>
          <w:rFonts w:ascii="Times New Roman" w:hAnsi="Times New Roman"/>
        </w:rPr>
        <w:t xml:space="preserve">Alarmingly, 16.3% </w:t>
      </w:r>
      <w:r w:rsidR="00511D4D">
        <w:rPr>
          <w:rFonts w:ascii="Times New Roman" w:hAnsi="Times New Roman"/>
        </w:rPr>
        <w:t>(</w:t>
      </w:r>
      <w:r w:rsidR="007102ED">
        <w:rPr>
          <w:rFonts w:ascii="Times New Roman" w:hAnsi="Times New Roman"/>
        </w:rPr>
        <w:t>n=9</w:t>
      </w:r>
      <w:r w:rsidR="00511D4D">
        <w:rPr>
          <w:rFonts w:ascii="Times New Roman" w:hAnsi="Times New Roman"/>
        </w:rPr>
        <w:t xml:space="preserve">) </w:t>
      </w:r>
      <w:r w:rsidRPr="005206E1">
        <w:rPr>
          <w:rFonts w:ascii="Times New Roman" w:hAnsi="Times New Roman"/>
        </w:rPr>
        <w:t xml:space="preserve">of parents reported that their disabled child had been </w:t>
      </w:r>
      <w:r w:rsidRPr="005206E1">
        <w:rPr>
          <w:rFonts w:ascii="Times New Roman" w:hAnsi="Times New Roman"/>
          <w:b/>
        </w:rPr>
        <w:t>tortured</w:t>
      </w:r>
      <w:r w:rsidRPr="005206E1">
        <w:rPr>
          <w:rFonts w:ascii="Times New Roman" w:hAnsi="Times New Roman"/>
        </w:rPr>
        <w:t xml:space="preserve"> at school. Abuses in this category included being kicked in the</w:t>
      </w:r>
      <w:r w:rsidR="00024ECE" w:rsidRPr="005206E1">
        <w:rPr>
          <w:rFonts w:ascii="Times New Roman" w:hAnsi="Times New Roman"/>
        </w:rPr>
        <w:t xml:space="preserve"> head and </w:t>
      </w:r>
      <w:r w:rsidR="005151D4" w:rsidRPr="005206E1">
        <w:rPr>
          <w:rFonts w:ascii="Times New Roman" w:hAnsi="Times New Roman"/>
        </w:rPr>
        <w:t xml:space="preserve">being </w:t>
      </w:r>
      <w:r w:rsidR="009570EA" w:rsidRPr="005206E1">
        <w:rPr>
          <w:rFonts w:ascii="Times New Roman" w:hAnsi="Times New Roman"/>
        </w:rPr>
        <w:t xml:space="preserve">left </w:t>
      </w:r>
      <w:r w:rsidR="00024ECE" w:rsidRPr="005206E1">
        <w:rPr>
          <w:rFonts w:ascii="Times New Roman" w:hAnsi="Times New Roman"/>
        </w:rPr>
        <w:t>locked up for</w:t>
      </w:r>
      <w:r w:rsidR="009570EA" w:rsidRPr="005206E1">
        <w:rPr>
          <w:rFonts w:ascii="Times New Roman" w:hAnsi="Times New Roman"/>
        </w:rPr>
        <w:t xml:space="preserve"> long periods of time </w:t>
      </w:r>
      <w:r w:rsidR="00024ECE" w:rsidRPr="005206E1">
        <w:rPr>
          <w:rFonts w:ascii="Times New Roman" w:hAnsi="Times New Roman"/>
        </w:rPr>
        <w:t xml:space="preserve">in extreme temperatures </w:t>
      </w:r>
      <w:r w:rsidR="009570EA" w:rsidRPr="005206E1">
        <w:rPr>
          <w:rFonts w:ascii="Times New Roman" w:hAnsi="Times New Roman"/>
        </w:rPr>
        <w:t xml:space="preserve">without </w:t>
      </w:r>
      <w:r w:rsidR="00024ECE" w:rsidRPr="005206E1">
        <w:rPr>
          <w:rFonts w:ascii="Times New Roman" w:hAnsi="Times New Roman"/>
        </w:rPr>
        <w:t xml:space="preserve">access to water. </w:t>
      </w:r>
    </w:p>
    <w:p w14:paraId="48F4BEFB" w14:textId="77777777" w:rsidR="00A76822" w:rsidRPr="005206E1" w:rsidRDefault="00A76822">
      <w:pPr>
        <w:rPr>
          <w:rFonts w:ascii="Times New Roman" w:hAnsi="Times New Roman"/>
        </w:rPr>
      </w:pPr>
    </w:p>
    <w:p w14:paraId="704F8650" w14:textId="77777777" w:rsidR="005151D4" w:rsidRPr="005206E1" w:rsidRDefault="005151D4">
      <w:pPr>
        <w:rPr>
          <w:rFonts w:ascii="Times New Roman" w:hAnsi="Times New Roman"/>
        </w:rPr>
      </w:pPr>
      <w:r w:rsidRPr="005206E1">
        <w:rPr>
          <w:rFonts w:ascii="Times New Roman" w:hAnsi="Times New Roman"/>
        </w:rPr>
        <w:t xml:space="preserve">The largest category of violation was that of </w:t>
      </w:r>
      <w:r w:rsidRPr="005206E1">
        <w:rPr>
          <w:rFonts w:ascii="Times New Roman" w:hAnsi="Times New Roman"/>
          <w:b/>
        </w:rPr>
        <w:t>cruel, inhuman or degrading treatment</w:t>
      </w:r>
      <w:r w:rsidRPr="005206E1">
        <w:rPr>
          <w:rFonts w:ascii="Times New Roman" w:hAnsi="Times New Roman"/>
        </w:rPr>
        <w:t xml:space="preserve">, with </w:t>
      </w:r>
      <w:r w:rsidR="009570EA" w:rsidRPr="005206E1">
        <w:rPr>
          <w:rFonts w:ascii="Times New Roman" w:hAnsi="Times New Roman"/>
        </w:rPr>
        <w:t xml:space="preserve">61.8% </w:t>
      </w:r>
      <w:r w:rsidR="00511D4D">
        <w:rPr>
          <w:rFonts w:ascii="Times New Roman" w:hAnsi="Times New Roman"/>
        </w:rPr>
        <w:t>(</w:t>
      </w:r>
      <w:r w:rsidR="007102ED">
        <w:rPr>
          <w:rFonts w:ascii="Times New Roman" w:hAnsi="Times New Roman"/>
        </w:rPr>
        <w:t>n=34</w:t>
      </w:r>
      <w:r w:rsidR="00511D4D">
        <w:rPr>
          <w:rFonts w:ascii="Times New Roman" w:hAnsi="Times New Roman"/>
        </w:rPr>
        <w:t xml:space="preserve">) </w:t>
      </w:r>
      <w:r w:rsidR="009570EA" w:rsidRPr="005206E1">
        <w:rPr>
          <w:rFonts w:ascii="Times New Roman" w:hAnsi="Times New Roman"/>
        </w:rPr>
        <w:t xml:space="preserve">of parents </w:t>
      </w:r>
      <w:r w:rsidRPr="005206E1">
        <w:rPr>
          <w:rFonts w:ascii="Times New Roman" w:hAnsi="Times New Roman"/>
        </w:rPr>
        <w:t>reporting a range of practices in this category. Examples include being made to stand in front of the class while being degraded</w:t>
      </w:r>
      <w:r w:rsidR="00C06B22">
        <w:rPr>
          <w:rFonts w:ascii="Times New Roman" w:hAnsi="Times New Roman"/>
        </w:rPr>
        <w:t xml:space="preserve"> for lack of knowledge</w:t>
      </w:r>
      <w:r w:rsidRPr="005206E1">
        <w:rPr>
          <w:rFonts w:ascii="Times New Roman" w:hAnsi="Times New Roman"/>
        </w:rPr>
        <w:t xml:space="preserve">, being dragged across school grounds in front of peers and not attending to a child’s personal care needs. </w:t>
      </w:r>
    </w:p>
    <w:p w14:paraId="35E090D1" w14:textId="77777777" w:rsidR="005151D4" w:rsidRPr="005206E1" w:rsidRDefault="005151D4">
      <w:pPr>
        <w:rPr>
          <w:rFonts w:ascii="Times New Roman" w:hAnsi="Times New Roman"/>
        </w:rPr>
      </w:pPr>
    </w:p>
    <w:p w14:paraId="03206F2E" w14:textId="77777777" w:rsidR="00E21166" w:rsidRDefault="00E21166">
      <w:pPr>
        <w:rPr>
          <w:rFonts w:ascii="Times New Roman" w:hAnsi="Times New Roman"/>
          <w:b/>
        </w:rPr>
      </w:pPr>
    </w:p>
    <w:p w14:paraId="0E55F59B" w14:textId="77777777" w:rsidR="00E21166" w:rsidRDefault="00E21166">
      <w:pPr>
        <w:rPr>
          <w:rFonts w:ascii="Times New Roman" w:hAnsi="Times New Roman"/>
          <w:b/>
        </w:rPr>
      </w:pPr>
    </w:p>
    <w:p w14:paraId="12BBF023" w14:textId="77777777" w:rsidR="005151D4" w:rsidRPr="005206E1" w:rsidRDefault="005151D4">
      <w:pPr>
        <w:rPr>
          <w:rFonts w:ascii="Times New Roman" w:hAnsi="Times New Roman"/>
          <w:b/>
        </w:rPr>
      </w:pPr>
      <w:r w:rsidRPr="005206E1">
        <w:rPr>
          <w:rFonts w:ascii="Times New Roman" w:hAnsi="Times New Roman"/>
          <w:b/>
        </w:rPr>
        <w:t>Actions Taken</w:t>
      </w:r>
      <w:r w:rsidR="00E66CBC">
        <w:rPr>
          <w:rFonts w:ascii="Times New Roman" w:hAnsi="Times New Roman"/>
          <w:b/>
        </w:rPr>
        <w:t xml:space="preserve"> and Responses</w:t>
      </w:r>
    </w:p>
    <w:p w14:paraId="4EF83B5E" w14:textId="77777777" w:rsidR="00A76822" w:rsidRPr="005206E1" w:rsidRDefault="00A76822">
      <w:pPr>
        <w:rPr>
          <w:rFonts w:ascii="Times New Roman" w:hAnsi="Times New Roman"/>
          <w:b/>
        </w:rPr>
      </w:pPr>
    </w:p>
    <w:p w14:paraId="240A5805" w14:textId="77777777" w:rsidR="0000221F" w:rsidRPr="005206E1" w:rsidRDefault="00AF5CDD">
      <w:pPr>
        <w:rPr>
          <w:rFonts w:ascii="Times New Roman" w:hAnsi="Times New Roman"/>
        </w:rPr>
      </w:pPr>
      <w:r w:rsidRPr="005206E1">
        <w:rPr>
          <w:rFonts w:ascii="Times New Roman" w:hAnsi="Times New Roman"/>
        </w:rPr>
        <w:t>Parents took a range of actions as a re</w:t>
      </w:r>
      <w:r w:rsidR="0000221F" w:rsidRPr="005206E1">
        <w:rPr>
          <w:rFonts w:ascii="Times New Roman" w:hAnsi="Times New Roman"/>
        </w:rPr>
        <w:t xml:space="preserve">sult of discovering the abuses, with 95% </w:t>
      </w:r>
      <w:r w:rsidR="00511D4D">
        <w:rPr>
          <w:rFonts w:ascii="Times New Roman" w:hAnsi="Times New Roman"/>
        </w:rPr>
        <w:t>(</w:t>
      </w:r>
      <w:r w:rsidR="007102ED">
        <w:rPr>
          <w:rFonts w:ascii="Times New Roman" w:hAnsi="Times New Roman"/>
        </w:rPr>
        <w:t>n=52</w:t>
      </w:r>
      <w:r w:rsidR="00511D4D">
        <w:rPr>
          <w:rFonts w:ascii="Times New Roman" w:hAnsi="Times New Roman"/>
        </w:rPr>
        <w:t xml:space="preserve">) </w:t>
      </w:r>
      <w:r w:rsidR="0000221F" w:rsidRPr="003D4C41">
        <w:rPr>
          <w:rFonts w:ascii="Times New Roman" w:hAnsi="Times New Roman"/>
          <w:b/>
        </w:rPr>
        <w:t>contacting school staff</w:t>
      </w:r>
      <w:r w:rsidR="0000221F" w:rsidRPr="005206E1">
        <w:rPr>
          <w:rFonts w:ascii="Times New Roman" w:hAnsi="Times New Roman"/>
        </w:rPr>
        <w:t>. Parents reported that responses from the school to their complaints were insufficient, including denial of the incident/s, lack of transparency during complaint procedures and negative treatment of the child and parents as a result of complaining</w:t>
      </w:r>
      <w:r w:rsidR="00E66CBC">
        <w:rPr>
          <w:rFonts w:ascii="Times New Roman" w:hAnsi="Times New Roman"/>
        </w:rPr>
        <w:t>, including suspension and expulsion of the child from school</w:t>
      </w:r>
      <w:r w:rsidR="0000221F" w:rsidRPr="005206E1">
        <w:rPr>
          <w:rFonts w:ascii="Times New Roman" w:hAnsi="Times New Roman"/>
        </w:rPr>
        <w:t xml:space="preserve">.  </w:t>
      </w:r>
    </w:p>
    <w:p w14:paraId="3BDF8D9C" w14:textId="77777777" w:rsidR="0000221F" w:rsidRPr="005206E1" w:rsidRDefault="0000221F">
      <w:pPr>
        <w:rPr>
          <w:rFonts w:ascii="Times New Roman" w:hAnsi="Times New Roman"/>
        </w:rPr>
      </w:pPr>
    </w:p>
    <w:p w14:paraId="0A4872B1" w14:textId="77777777" w:rsidR="00C06B22" w:rsidRDefault="0000221F">
      <w:pPr>
        <w:rPr>
          <w:rFonts w:ascii="Times New Roman" w:hAnsi="Times New Roman"/>
        </w:rPr>
      </w:pPr>
      <w:r w:rsidRPr="005206E1">
        <w:rPr>
          <w:rFonts w:ascii="Times New Roman" w:hAnsi="Times New Roman"/>
        </w:rPr>
        <w:t xml:space="preserve">58.1% </w:t>
      </w:r>
      <w:r w:rsidR="00511D4D">
        <w:rPr>
          <w:rFonts w:ascii="Times New Roman" w:hAnsi="Times New Roman"/>
        </w:rPr>
        <w:t>(</w:t>
      </w:r>
      <w:r w:rsidR="007102ED">
        <w:rPr>
          <w:rFonts w:ascii="Times New Roman" w:hAnsi="Times New Roman"/>
        </w:rPr>
        <w:t>n=32</w:t>
      </w:r>
      <w:r w:rsidR="00511D4D">
        <w:rPr>
          <w:rFonts w:ascii="Times New Roman" w:hAnsi="Times New Roman"/>
        </w:rPr>
        <w:t xml:space="preserve">) </w:t>
      </w:r>
      <w:r w:rsidRPr="005206E1">
        <w:rPr>
          <w:rFonts w:ascii="Times New Roman" w:hAnsi="Times New Roman"/>
        </w:rPr>
        <w:t xml:space="preserve">of parents made a </w:t>
      </w:r>
      <w:r w:rsidRPr="003D4C41">
        <w:rPr>
          <w:rFonts w:ascii="Times New Roman" w:hAnsi="Times New Roman"/>
          <w:b/>
        </w:rPr>
        <w:t>formal complaint</w:t>
      </w:r>
      <w:r w:rsidRPr="005206E1">
        <w:rPr>
          <w:rFonts w:ascii="Times New Roman" w:hAnsi="Times New Roman"/>
        </w:rPr>
        <w:t xml:space="preserve"> through</w:t>
      </w:r>
      <w:r w:rsidR="00AF5CDD" w:rsidRPr="005206E1">
        <w:rPr>
          <w:rFonts w:ascii="Times New Roman" w:hAnsi="Times New Roman"/>
        </w:rPr>
        <w:t xml:space="preserve"> </w:t>
      </w:r>
      <w:r w:rsidRPr="005206E1">
        <w:rPr>
          <w:rFonts w:ascii="Times New Roman" w:hAnsi="Times New Roman"/>
        </w:rPr>
        <w:t>Education Departments, Ombudsmen</w:t>
      </w:r>
      <w:r w:rsidR="00AF5CDD" w:rsidRPr="005206E1">
        <w:rPr>
          <w:rFonts w:ascii="Times New Roman" w:hAnsi="Times New Roman"/>
        </w:rPr>
        <w:t>, Local, State and Federal members of Parliament, the Police, the Human Rights and Equal Opportunit</w:t>
      </w:r>
      <w:r w:rsidRPr="005206E1">
        <w:rPr>
          <w:rFonts w:ascii="Times New Roman" w:hAnsi="Times New Roman"/>
        </w:rPr>
        <w:t xml:space="preserve">ies Commission and Solicitors. </w:t>
      </w:r>
      <w:r w:rsidR="00C06B22">
        <w:rPr>
          <w:rFonts w:ascii="Times New Roman" w:hAnsi="Times New Roman"/>
        </w:rPr>
        <w:t>Those parents who did not make a formal complaint cited reasons including not being aware that they could make a complaint, fear of reprisal to the child by school staff and lack of funds to pursue legal action.</w:t>
      </w:r>
    </w:p>
    <w:p w14:paraId="18649BB0" w14:textId="77777777" w:rsidR="00C06B22" w:rsidRDefault="00C06B22">
      <w:pPr>
        <w:rPr>
          <w:rFonts w:ascii="Times New Roman" w:hAnsi="Times New Roman"/>
        </w:rPr>
      </w:pPr>
    </w:p>
    <w:p w14:paraId="66B568EE" w14:textId="77777777" w:rsidR="00A76822" w:rsidRPr="005206E1" w:rsidRDefault="00AF5CDD">
      <w:pPr>
        <w:rPr>
          <w:rFonts w:ascii="Times New Roman" w:hAnsi="Times New Roman"/>
        </w:rPr>
      </w:pPr>
      <w:r w:rsidRPr="005206E1">
        <w:rPr>
          <w:rFonts w:ascii="Times New Roman" w:hAnsi="Times New Roman"/>
        </w:rPr>
        <w:t xml:space="preserve">Overwhelmingly, parents were not satisfied with the results of their complaints. A theme </w:t>
      </w:r>
      <w:r w:rsidR="0000221F" w:rsidRPr="005206E1">
        <w:rPr>
          <w:rFonts w:ascii="Times New Roman" w:hAnsi="Times New Roman"/>
        </w:rPr>
        <w:t xml:space="preserve">emerged </w:t>
      </w:r>
      <w:r w:rsidR="00C06B22">
        <w:rPr>
          <w:rFonts w:ascii="Times New Roman" w:hAnsi="Times New Roman"/>
        </w:rPr>
        <w:t>that</w:t>
      </w:r>
      <w:r w:rsidRPr="005206E1">
        <w:rPr>
          <w:rFonts w:ascii="Times New Roman" w:hAnsi="Times New Roman"/>
        </w:rPr>
        <w:t xml:space="preserve"> </w:t>
      </w:r>
      <w:r w:rsidR="0000221F" w:rsidRPr="005206E1">
        <w:rPr>
          <w:rFonts w:ascii="Times New Roman" w:hAnsi="Times New Roman"/>
        </w:rPr>
        <w:t xml:space="preserve">internal inquiries </w:t>
      </w:r>
      <w:r w:rsidR="00C06B22">
        <w:rPr>
          <w:rFonts w:ascii="Times New Roman" w:hAnsi="Times New Roman"/>
        </w:rPr>
        <w:t>conducted</w:t>
      </w:r>
      <w:r w:rsidR="0000221F" w:rsidRPr="005206E1">
        <w:rPr>
          <w:rFonts w:ascii="Times New Roman" w:hAnsi="Times New Roman"/>
        </w:rPr>
        <w:t xml:space="preserve"> by </w:t>
      </w:r>
      <w:r w:rsidR="00C06B22">
        <w:rPr>
          <w:rFonts w:ascii="Times New Roman" w:hAnsi="Times New Roman"/>
        </w:rPr>
        <w:t>Departments of Education</w:t>
      </w:r>
      <w:r w:rsidR="003D4C41">
        <w:rPr>
          <w:rFonts w:ascii="Times New Roman" w:hAnsi="Times New Roman"/>
        </w:rPr>
        <w:t xml:space="preserve"> protected</w:t>
      </w:r>
      <w:r w:rsidRPr="005206E1">
        <w:rPr>
          <w:rFonts w:ascii="Times New Roman" w:hAnsi="Times New Roman"/>
        </w:rPr>
        <w:t xml:space="preserve"> teachers and schools. A disturbing trend was the many cases that reported that Police, although sometimes sympathetic, stated that further action could not be taken as the child involved was a ‘special needs’ child. In Queensland, </w:t>
      </w:r>
      <w:r w:rsidR="00C06B22">
        <w:rPr>
          <w:rFonts w:ascii="Times New Roman" w:hAnsi="Times New Roman"/>
        </w:rPr>
        <w:t xml:space="preserve">several parents report that </w:t>
      </w:r>
      <w:r w:rsidRPr="005206E1">
        <w:rPr>
          <w:rFonts w:ascii="Times New Roman" w:hAnsi="Times New Roman"/>
        </w:rPr>
        <w:t xml:space="preserve">Police informed </w:t>
      </w:r>
      <w:r w:rsidR="00C06B22">
        <w:rPr>
          <w:rFonts w:ascii="Times New Roman" w:hAnsi="Times New Roman"/>
        </w:rPr>
        <w:t xml:space="preserve">them </w:t>
      </w:r>
      <w:r w:rsidRPr="005206E1">
        <w:rPr>
          <w:rFonts w:ascii="Times New Roman" w:hAnsi="Times New Roman"/>
        </w:rPr>
        <w:t>that no action could be taken</w:t>
      </w:r>
      <w:r w:rsidR="0000221F" w:rsidRPr="005206E1">
        <w:rPr>
          <w:rFonts w:ascii="Times New Roman" w:hAnsi="Times New Roman"/>
        </w:rPr>
        <w:t xml:space="preserve"> due to section 280</w:t>
      </w:r>
      <w:r w:rsidRPr="005206E1">
        <w:rPr>
          <w:rFonts w:ascii="Times New Roman" w:hAnsi="Times New Roman"/>
        </w:rPr>
        <w:t xml:space="preserve"> </w:t>
      </w:r>
      <w:r w:rsidR="0000221F" w:rsidRPr="005206E1">
        <w:rPr>
          <w:rFonts w:ascii="Times New Roman" w:hAnsi="Times New Roman"/>
        </w:rPr>
        <w:t xml:space="preserve">of the Criminal Code </w:t>
      </w:r>
      <w:r w:rsidR="005206E1" w:rsidRPr="005206E1">
        <w:rPr>
          <w:rFonts w:ascii="Times New Roman" w:hAnsi="Times New Roman"/>
        </w:rPr>
        <w:t>(Queensland Consolidated Acts 1899, s280), which states that</w:t>
      </w:r>
      <w:r w:rsidR="0000221F" w:rsidRPr="005206E1">
        <w:rPr>
          <w:rFonts w:ascii="Times New Roman" w:hAnsi="Times New Roman"/>
        </w:rPr>
        <w:t xml:space="preserve"> ‘It is lawful for a parent or a person in the place of a parent, or for a schoolteacher or master, to use, by way of correction, discipline, management or control, towards a child or pupil, under the person's care such force as is reasonable under the circumstances’.</w:t>
      </w:r>
    </w:p>
    <w:p w14:paraId="588762ED" w14:textId="77777777" w:rsidR="005206E1" w:rsidRPr="005206E1" w:rsidRDefault="005206E1">
      <w:pPr>
        <w:rPr>
          <w:rFonts w:ascii="Times New Roman" w:hAnsi="Times New Roman"/>
        </w:rPr>
      </w:pPr>
    </w:p>
    <w:p w14:paraId="5CEB1096" w14:textId="77777777" w:rsidR="005206E1" w:rsidRPr="005206E1" w:rsidRDefault="005206E1">
      <w:pPr>
        <w:rPr>
          <w:rFonts w:ascii="Times New Roman" w:hAnsi="Times New Roman"/>
          <w:b/>
          <w:sz w:val="20"/>
        </w:rPr>
      </w:pPr>
      <w:r w:rsidRPr="005206E1">
        <w:rPr>
          <w:rFonts w:ascii="Times New Roman" w:hAnsi="Times New Roman"/>
          <w:b/>
          <w:sz w:val="20"/>
        </w:rPr>
        <w:t>Reference</w:t>
      </w:r>
    </w:p>
    <w:p w14:paraId="40E83950" w14:textId="77777777" w:rsidR="005206E1" w:rsidRPr="005206E1" w:rsidRDefault="005206E1">
      <w:pPr>
        <w:rPr>
          <w:rFonts w:ascii="Times New Roman" w:hAnsi="Times New Roman"/>
          <w:sz w:val="20"/>
        </w:rPr>
      </w:pPr>
      <w:r w:rsidRPr="005206E1">
        <w:rPr>
          <w:rFonts w:ascii="Times New Roman" w:hAnsi="Times New Roman"/>
          <w:sz w:val="20"/>
        </w:rPr>
        <w:t>Queensland Consolidated Acts, Queensland Statutes s280 (1899).</w:t>
      </w:r>
    </w:p>
    <w:p w14:paraId="27EB7E57" w14:textId="77777777" w:rsidR="00E646B1" w:rsidRPr="005206E1" w:rsidRDefault="00E646B1">
      <w:pPr>
        <w:rPr>
          <w:rFonts w:ascii="Times New Roman" w:hAnsi="Times New Roman"/>
          <w:b/>
          <w:sz w:val="20"/>
        </w:rPr>
      </w:pPr>
    </w:p>
    <w:sectPr w:rsidR="00E646B1" w:rsidRPr="005206E1" w:rsidSect="00E646B1">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F3605" w14:textId="77777777" w:rsidR="00637345" w:rsidRDefault="00637345">
      <w:r>
        <w:separator/>
      </w:r>
    </w:p>
  </w:endnote>
  <w:endnote w:type="continuationSeparator" w:id="0">
    <w:p w14:paraId="17027C4B" w14:textId="77777777" w:rsidR="00637345" w:rsidRDefault="0063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B626" w14:textId="77777777" w:rsidR="0003685F" w:rsidRDefault="00240D3C" w:rsidP="00F11458">
    <w:pPr>
      <w:pStyle w:val="Footer"/>
      <w:framePr w:wrap="around" w:vAnchor="text" w:hAnchor="margin" w:xAlign="center" w:y="1"/>
      <w:rPr>
        <w:rStyle w:val="PageNumber"/>
      </w:rPr>
    </w:pPr>
    <w:r>
      <w:rPr>
        <w:rStyle w:val="PageNumber"/>
      </w:rPr>
      <w:fldChar w:fldCharType="begin"/>
    </w:r>
    <w:r w:rsidR="0003685F">
      <w:rPr>
        <w:rStyle w:val="PageNumber"/>
      </w:rPr>
      <w:instrText xml:space="preserve">PAGE  </w:instrText>
    </w:r>
    <w:r>
      <w:rPr>
        <w:rStyle w:val="PageNumber"/>
      </w:rPr>
      <w:fldChar w:fldCharType="end"/>
    </w:r>
  </w:p>
  <w:p w14:paraId="4775CA16" w14:textId="77777777" w:rsidR="0003685F" w:rsidRDefault="00036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AB16" w14:textId="77777777" w:rsidR="0003685F" w:rsidRDefault="00240D3C" w:rsidP="00F11458">
    <w:pPr>
      <w:pStyle w:val="Footer"/>
      <w:framePr w:wrap="around" w:vAnchor="text" w:hAnchor="margin" w:xAlign="center" w:y="1"/>
      <w:rPr>
        <w:rStyle w:val="PageNumber"/>
      </w:rPr>
    </w:pPr>
    <w:r>
      <w:rPr>
        <w:rStyle w:val="PageNumber"/>
      </w:rPr>
      <w:fldChar w:fldCharType="begin"/>
    </w:r>
    <w:r w:rsidR="0003685F">
      <w:rPr>
        <w:rStyle w:val="PageNumber"/>
      </w:rPr>
      <w:instrText xml:space="preserve">PAGE  </w:instrText>
    </w:r>
    <w:r>
      <w:rPr>
        <w:rStyle w:val="PageNumber"/>
      </w:rPr>
      <w:fldChar w:fldCharType="separate"/>
    </w:r>
    <w:r w:rsidR="00205B79">
      <w:rPr>
        <w:rStyle w:val="PageNumber"/>
        <w:noProof/>
      </w:rPr>
      <w:t>1</w:t>
    </w:r>
    <w:r>
      <w:rPr>
        <w:rStyle w:val="PageNumber"/>
      </w:rPr>
      <w:fldChar w:fldCharType="end"/>
    </w:r>
  </w:p>
  <w:p w14:paraId="4B151B9F" w14:textId="77777777" w:rsidR="0003685F" w:rsidRDefault="00036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4A70" w14:textId="77777777" w:rsidR="005931DB" w:rsidRDefault="0059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CA5C" w14:textId="77777777" w:rsidR="00637345" w:rsidRDefault="00637345">
      <w:r>
        <w:separator/>
      </w:r>
    </w:p>
  </w:footnote>
  <w:footnote w:type="continuationSeparator" w:id="0">
    <w:p w14:paraId="0789A7D8" w14:textId="77777777" w:rsidR="00637345" w:rsidRDefault="0063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7D00" w14:textId="56F73255" w:rsidR="005931DB" w:rsidRDefault="0059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0620" w14:textId="2F728223" w:rsidR="005931DB" w:rsidRDefault="0059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67B5" w14:textId="6452DADE" w:rsidR="005931DB" w:rsidRDefault="00593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BD77C6-2065-4525-A33C-D00B05BCA685}"/>
    <w:docVar w:name="dgnword-eventsink" w:val="157322816"/>
  </w:docVars>
  <w:rsids>
    <w:rsidRoot w:val="00E646B1"/>
    <w:rsid w:val="0000221F"/>
    <w:rsid w:val="00024ECE"/>
    <w:rsid w:val="0003685F"/>
    <w:rsid w:val="0009577C"/>
    <w:rsid w:val="00171EF6"/>
    <w:rsid w:val="00183313"/>
    <w:rsid w:val="00205B79"/>
    <w:rsid w:val="00240D3C"/>
    <w:rsid w:val="00242B32"/>
    <w:rsid w:val="00287DDE"/>
    <w:rsid w:val="00295B7F"/>
    <w:rsid w:val="002E024C"/>
    <w:rsid w:val="003D4C41"/>
    <w:rsid w:val="004579A0"/>
    <w:rsid w:val="00462F6B"/>
    <w:rsid w:val="00485C6C"/>
    <w:rsid w:val="004C652B"/>
    <w:rsid w:val="00506EF3"/>
    <w:rsid w:val="00511D4D"/>
    <w:rsid w:val="005151D4"/>
    <w:rsid w:val="005206E1"/>
    <w:rsid w:val="005931DB"/>
    <w:rsid w:val="00594F1E"/>
    <w:rsid w:val="005E74AE"/>
    <w:rsid w:val="005F3199"/>
    <w:rsid w:val="00634F53"/>
    <w:rsid w:val="00637345"/>
    <w:rsid w:val="0066621B"/>
    <w:rsid w:val="00685F09"/>
    <w:rsid w:val="006D124D"/>
    <w:rsid w:val="006E04EB"/>
    <w:rsid w:val="006E2DD5"/>
    <w:rsid w:val="007102ED"/>
    <w:rsid w:val="00750594"/>
    <w:rsid w:val="007D5071"/>
    <w:rsid w:val="00830FD4"/>
    <w:rsid w:val="00835F36"/>
    <w:rsid w:val="008D26BD"/>
    <w:rsid w:val="00917360"/>
    <w:rsid w:val="009570EA"/>
    <w:rsid w:val="009736C4"/>
    <w:rsid w:val="009B40CB"/>
    <w:rsid w:val="009C7321"/>
    <w:rsid w:val="009D4AE8"/>
    <w:rsid w:val="009F4E00"/>
    <w:rsid w:val="00A76822"/>
    <w:rsid w:val="00AB6F70"/>
    <w:rsid w:val="00AD16A7"/>
    <w:rsid w:val="00AF5CDD"/>
    <w:rsid w:val="00B35DEC"/>
    <w:rsid w:val="00C06B22"/>
    <w:rsid w:val="00C6425E"/>
    <w:rsid w:val="00C76910"/>
    <w:rsid w:val="00CC6616"/>
    <w:rsid w:val="00D827CF"/>
    <w:rsid w:val="00DB3D6C"/>
    <w:rsid w:val="00DD3F1F"/>
    <w:rsid w:val="00E21166"/>
    <w:rsid w:val="00E52CF4"/>
    <w:rsid w:val="00E646B1"/>
    <w:rsid w:val="00E66CBC"/>
    <w:rsid w:val="00EB7859"/>
    <w:rsid w:val="00ED7286"/>
    <w:rsid w:val="00F3143D"/>
    <w:rsid w:val="00F6376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03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3199"/>
    <w:pPr>
      <w:tabs>
        <w:tab w:val="center" w:pos="4320"/>
        <w:tab w:val="right" w:pos="8640"/>
      </w:tabs>
    </w:pPr>
  </w:style>
  <w:style w:type="character" w:customStyle="1" w:styleId="HeaderChar">
    <w:name w:val="Header Char"/>
    <w:basedOn w:val="DefaultParagraphFont"/>
    <w:link w:val="Header"/>
    <w:rsid w:val="005F3199"/>
  </w:style>
  <w:style w:type="paragraph" w:styleId="Footer">
    <w:name w:val="footer"/>
    <w:basedOn w:val="Normal"/>
    <w:link w:val="FooterChar"/>
    <w:rsid w:val="005F3199"/>
    <w:pPr>
      <w:tabs>
        <w:tab w:val="center" w:pos="4320"/>
        <w:tab w:val="right" w:pos="8640"/>
      </w:tabs>
    </w:pPr>
  </w:style>
  <w:style w:type="character" w:customStyle="1" w:styleId="FooterChar">
    <w:name w:val="Footer Char"/>
    <w:basedOn w:val="DefaultParagraphFont"/>
    <w:link w:val="Footer"/>
    <w:rsid w:val="005F3199"/>
  </w:style>
  <w:style w:type="character" w:styleId="PageNumber">
    <w:name w:val="page number"/>
    <w:basedOn w:val="DefaultParagraphFont"/>
    <w:rsid w:val="0003685F"/>
  </w:style>
  <w:style w:type="paragraph" w:styleId="BalloonText">
    <w:name w:val="Balloon Text"/>
    <w:basedOn w:val="Normal"/>
    <w:link w:val="BalloonTextChar"/>
    <w:semiHidden/>
    <w:unhideWhenUsed/>
    <w:rsid w:val="00205B79"/>
    <w:rPr>
      <w:rFonts w:ascii="Tahoma" w:hAnsi="Tahoma" w:cs="Tahoma"/>
      <w:sz w:val="16"/>
      <w:szCs w:val="16"/>
    </w:rPr>
  </w:style>
  <w:style w:type="character" w:customStyle="1" w:styleId="BalloonTextChar">
    <w:name w:val="Balloon Text Char"/>
    <w:basedOn w:val="DefaultParagraphFont"/>
    <w:link w:val="BalloonText"/>
    <w:semiHidden/>
    <w:rsid w:val="00205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03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3199"/>
    <w:pPr>
      <w:tabs>
        <w:tab w:val="center" w:pos="4320"/>
        <w:tab w:val="right" w:pos="8640"/>
      </w:tabs>
    </w:pPr>
  </w:style>
  <w:style w:type="character" w:customStyle="1" w:styleId="HeaderChar">
    <w:name w:val="Header Char"/>
    <w:basedOn w:val="DefaultParagraphFont"/>
    <w:link w:val="Header"/>
    <w:rsid w:val="005F3199"/>
  </w:style>
  <w:style w:type="paragraph" w:styleId="Footer">
    <w:name w:val="footer"/>
    <w:basedOn w:val="Normal"/>
    <w:link w:val="FooterChar"/>
    <w:rsid w:val="005F3199"/>
    <w:pPr>
      <w:tabs>
        <w:tab w:val="center" w:pos="4320"/>
        <w:tab w:val="right" w:pos="8640"/>
      </w:tabs>
    </w:pPr>
  </w:style>
  <w:style w:type="character" w:customStyle="1" w:styleId="FooterChar">
    <w:name w:val="Footer Char"/>
    <w:basedOn w:val="DefaultParagraphFont"/>
    <w:link w:val="Footer"/>
    <w:rsid w:val="005F3199"/>
  </w:style>
  <w:style w:type="character" w:styleId="PageNumber">
    <w:name w:val="page number"/>
    <w:basedOn w:val="DefaultParagraphFont"/>
    <w:rsid w:val="0003685F"/>
  </w:style>
  <w:style w:type="paragraph" w:styleId="BalloonText">
    <w:name w:val="Balloon Text"/>
    <w:basedOn w:val="Normal"/>
    <w:link w:val="BalloonTextChar"/>
    <w:semiHidden/>
    <w:unhideWhenUsed/>
    <w:rsid w:val="00205B79"/>
    <w:rPr>
      <w:rFonts w:ascii="Tahoma" w:hAnsi="Tahoma" w:cs="Tahoma"/>
      <w:sz w:val="16"/>
      <w:szCs w:val="16"/>
    </w:rPr>
  </w:style>
  <w:style w:type="character" w:customStyle="1" w:styleId="BalloonTextChar">
    <w:name w:val="Balloon Text Char"/>
    <w:basedOn w:val="DefaultParagraphFont"/>
    <w:link w:val="BalloonText"/>
    <w:semiHidden/>
    <w:rsid w:val="0020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AU" sz="1400" b="0" i="0" u="none" strike="noStrike" kern="1200" spc="0" baseline="0">
                <a:solidFill>
                  <a:schemeClr val="tx1">
                    <a:lumMod val="65000"/>
                    <a:lumOff val="35000"/>
                  </a:schemeClr>
                </a:solidFill>
                <a:latin typeface="+mn-lt"/>
                <a:ea typeface="+mn-ea"/>
                <a:cs typeface="+mn-cs"/>
              </a:defRPr>
            </a:pPr>
            <a:r>
              <a:rPr lang="en-US"/>
              <a:t>States/Territories where abuse reported </a:t>
            </a:r>
          </a:p>
        </c:rich>
      </c:tx>
      <c:overlay val="0"/>
      <c:spPr>
        <a:noFill/>
        <a:ln>
          <a:noFill/>
        </a:ln>
        <a:effectLst/>
      </c:spPr>
    </c:title>
    <c:autoTitleDeleted val="0"/>
    <c:plotArea>
      <c:layout/>
      <c:barChart>
        <c:barDir val="bar"/>
        <c:grouping val="clustered"/>
        <c:varyColors val="1"/>
        <c:ser>
          <c:idx val="0"/>
          <c:order val="0"/>
          <c:tx>
            <c:strRef>
              <c:f>Sheet1!$B$1</c:f>
              <c:strCache>
                <c:ptCount val="1"/>
                <c:pt idx="0">
                  <c:v>States/Territories where abuse was reported</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Pt>
            <c:idx val="5"/>
            <c:invertIfNegative val="0"/>
            <c:bubble3D val="0"/>
            <c:spPr>
              <a:solidFill>
                <a:schemeClr val="accent6"/>
              </a:solidFill>
              <a:ln w="19050">
                <a:solidFill>
                  <a:schemeClr val="lt1"/>
                </a:solidFill>
              </a:ln>
              <a:effectLst/>
            </c:spPr>
          </c:dPt>
          <c:dPt>
            <c:idx val="6"/>
            <c:invertIfNegative val="0"/>
            <c:bubble3D val="0"/>
            <c:spPr>
              <a:solidFill>
                <a:schemeClr val="accent1">
                  <a:lumMod val="60000"/>
                </a:schemeClr>
              </a:solidFill>
              <a:ln w="19050">
                <a:solidFill>
                  <a:schemeClr val="lt1"/>
                </a:solidFill>
              </a:ln>
              <a:effectLst/>
            </c:spPr>
          </c:dPt>
          <c:dPt>
            <c:idx val="7"/>
            <c:invertIfNegative val="0"/>
            <c:bubble3D val="0"/>
            <c:spPr>
              <a:solidFill>
                <a:schemeClr val="accent2">
                  <a:lumMod val="60000"/>
                </a:schemeClr>
              </a:solidFill>
              <a:ln w="19050">
                <a:solidFill>
                  <a:schemeClr val="lt1"/>
                </a:solidFill>
              </a:ln>
              <a:effectLst/>
            </c:spPr>
          </c:dPt>
          <c:cat>
            <c:strRef>
              <c:f>Sheet1!$A$2:$A$9</c:f>
              <c:strCache>
                <c:ptCount val="8"/>
                <c:pt idx="0">
                  <c:v>Victoria 44%</c:v>
                </c:pt>
                <c:pt idx="1">
                  <c:v>New South Wales 16%</c:v>
                </c:pt>
                <c:pt idx="2">
                  <c:v>Queensland 22%</c:v>
                </c:pt>
                <c:pt idx="3">
                  <c:v>Northern Territory 0%</c:v>
                </c:pt>
                <c:pt idx="4">
                  <c:v>Western Australia 7%</c:v>
                </c:pt>
                <c:pt idx="5">
                  <c:v>South Australia 9%</c:v>
                </c:pt>
                <c:pt idx="6">
                  <c:v>Tasmania 0%</c:v>
                </c:pt>
                <c:pt idx="7">
                  <c:v>Australian Capital Territory 2%</c:v>
                </c:pt>
              </c:strCache>
            </c:strRef>
          </c:cat>
          <c:val>
            <c:numRef>
              <c:f>Sheet1!$B$2:$B$9</c:f>
              <c:numCache>
                <c:formatCode>General</c:formatCode>
                <c:ptCount val="8"/>
                <c:pt idx="0">
                  <c:v>43.64</c:v>
                </c:pt>
                <c:pt idx="1">
                  <c:v>16.36</c:v>
                </c:pt>
                <c:pt idx="2">
                  <c:v>21.82</c:v>
                </c:pt>
                <c:pt idx="3">
                  <c:v>0</c:v>
                </c:pt>
                <c:pt idx="4">
                  <c:v>7.27</c:v>
                </c:pt>
                <c:pt idx="5">
                  <c:v>9.09</c:v>
                </c:pt>
                <c:pt idx="6">
                  <c:v>0</c:v>
                </c:pt>
                <c:pt idx="7">
                  <c:v>1.82</c:v>
                </c:pt>
              </c:numCache>
            </c:numRef>
          </c:val>
        </c:ser>
        <c:dLbls>
          <c:showLegendKey val="0"/>
          <c:showVal val="0"/>
          <c:showCatName val="0"/>
          <c:showSerName val="0"/>
          <c:showPercent val="0"/>
          <c:showBubbleSize val="0"/>
        </c:dLbls>
        <c:gapWidth val="24"/>
        <c:axId val="125038080"/>
        <c:axId val="270697024"/>
      </c:barChart>
      <c:valAx>
        <c:axId val="2706970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038080"/>
        <c:crosses val="autoZero"/>
        <c:crossBetween val="between"/>
      </c:valAx>
      <c:catAx>
        <c:axId val="125038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900" b="0" i="0" u="none" strike="noStrike" kern="1200" baseline="0">
                <a:solidFill>
                  <a:schemeClr val="tx1">
                    <a:lumMod val="65000"/>
                    <a:lumOff val="35000"/>
                  </a:schemeClr>
                </a:solidFill>
                <a:latin typeface="+mn-lt"/>
                <a:ea typeface="+mn-ea"/>
                <a:cs typeface="+mn-cs"/>
              </a:defRPr>
            </a:pPr>
            <a:endParaRPr lang="en-US"/>
          </a:p>
        </c:txPr>
        <c:crossAx val="2706970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AU" sz="1400" b="0" i="0" u="none" strike="noStrike" kern="1200" spc="0" baseline="0">
                <a:solidFill>
                  <a:schemeClr val="tx1">
                    <a:lumMod val="65000"/>
                    <a:lumOff val="35000"/>
                  </a:schemeClr>
                </a:solidFill>
                <a:latin typeface="+mn-lt"/>
                <a:ea typeface="+mn-ea"/>
                <a:cs typeface="+mn-cs"/>
              </a:defRPr>
            </a:pPr>
            <a:r>
              <a:rPr lang="en-US"/>
              <a:t>Disability</a:t>
            </a:r>
          </a:p>
        </c:rich>
      </c:tx>
      <c:overlay val="0"/>
      <c:spPr>
        <a:noFill/>
        <a:ln>
          <a:noFill/>
        </a:ln>
        <a:effectLst/>
      </c:spPr>
    </c:title>
    <c:autoTitleDeleted val="0"/>
    <c:plotArea>
      <c:layout>
        <c:manualLayout>
          <c:layoutTarget val="inner"/>
          <c:xMode val="edge"/>
          <c:yMode val="edge"/>
          <c:x val="0.163795085855232"/>
          <c:y val="0.150444285767729"/>
          <c:w val="0.79524105872308104"/>
          <c:h val="0.77932229138575204"/>
        </c:manualLayout>
      </c:layout>
      <c:barChart>
        <c:barDir val="bar"/>
        <c:grouping val="clustered"/>
        <c:varyColors val="1"/>
        <c:ser>
          <c:idx val="0"/>
          <c:order val="0"/>
          <c:tx>
            <c:strRef>
              <c:f>Sheet1!$B$1</c:f>
              <c:strCache>
                <c:ptCount val="1"/>
                <c:pt idx="0">
                  <c:v>Column3</c:v>
                </c:pt>
              </c:strCache>
            </c:strRef>
          </c:tx>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cat>
            <c:strRef>
              <c:f>Sheet1!$A$2:$A$9</c:f>
              <c:strCache>
                <c:ptCount val="8"/>
                <c:pt idx="0">
                  <c:v>Autism 93%</c:v>
                </c:pt>
                <c:pt idx="1">
                  <c:v>ADHD 29%</c:v>
                </c:pt>
                <c:pt idx="2">
                  <c:v>Anxiety 29%</c:v>
                </c:pt>
                <c:pt idx="3">
                  <c:v>Language 16%</c:v>
                </c:pt>
                <c:pt idx="4">
                  <c:v>ODD 16%</c:v>
                </c:pt>
                <c:pt idx="5">
                  <c:v>SPD 14%</c:v>
                </c:pt>
                <c:pt idx="6">
                  <c:v>ID 14%</c:v>
                </c:pt>
                <c:pt idx="7">
                  <c:v>OCD 5%</c:v>
                </c:pt>
              </c:strCache>
            </c:strRef>
          </c:cat>
          <c:val>
            <c:numRef>
              <c:f>Sheet1!$B$2:$B$9</c:f>
              <c:numCache>
                <c:formatCode>0%</c:formatCode>
                <c:ptCount val="8"/>
                <c:pt idx="0">
                  <c:v>0.93</c:v>
                </c:pt>
                <c:pt idx="1">
                  <c:v>0.28999999999999998</c:v>
                </c:pt>
                <c:pt idx="2">
                  <c:v>0.28999999999999998</c:v>
                </c:pt>
                <c:pt idx="3">
                  <c:v>0.16</c:v>
                </c:pt>
                <c:pt idx="4">
                  <c:v>0.16</c:v>
                </c:pt>
                <c:pt idx="5">
                  <c:v>0.14000000000000001</c:v>
                </c:pt>
                <c:pt idx="6">
                  <c:v>0.14000000000000001</c:v>
                </c:pt>
                <c:pt idx="7">
                  <c:v>0.05</c:v>
                </c:pt>
              </c:numCache>
            </c:numRef>
          </c:val>
        </c:ser>
        <c:dLbls>
          <c:showLegendKey val="0"/>
          <c:showVal val="0"/>
          <c:showCatName val="0"/>
          <c:showSerName val="0"/>
          <c:showPercent val="0"/>
          <c:showBubbleSize val="0"/>
        </c:dLbls>
        <c:gapWidth val="47"/>
        <c:axId val="288024064"/>
        <c:axId val="270698752"/>
      </c:barChart>
      <c:catAx>
        <c:axId val="288024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900" b="0" i="0" u="none" strike="noStrike" kern="1200" baseline="0">
                <a:solidFill>
                  <a:schemeClr val="tx1">
                    <a:lumMod val="65000"/>
                    <a:lumOff val="35000"/>
                  </a:schemeClr>
                </a:solidFill>
                <a:latin typeface="+mn-lt"/>
                <a:ea typeface="+mn-ea"/>
                <a:cs typeface="+mn-cs"/>
              </a:defRPr>
            </a:pPr>
            <a:endParaRPr lang="en-US"/>
          </a:p>
        </c:txPr>
        <c:crossAx val="270698752"/>
        <c:crosses val="autoZero"/>
        <c:auto val="1"/>
        <c:lblAlgn val="ctr"/>
        <c:lblOffset val="100"/>
        <c:noMultiLvlLbl val="0"/>
      </c:catAx>
      <c:valAx>
        <c:axId val="27069875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88024064"/>
        <c:crosses val="autoZero"/>
        <c:crossBetween val="between"/>
      </c:valAx>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bg1">
          <a:lumMod val="50000"/>
          <a:alpha val="33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AU"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1"/>
        <c:ser>
          <c:idx val="0"/>
          <c:order val="0"/>
          <c:tx>
            <c:strRef>
              <c:f>Sheet1!$B$1</c:f>
              <c:strCache>
                <c:ptCount val="1"/>
                <c:pt idx="0">
                  <c:v>Type of abuse reported</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Pt>
            <c:idx val="5"/>
            <c:invertIfNegative val="0"/>
            <c:bubble3D val="0"/>
            <c:spPr>
              <a:solidFill>
                <a:schemeClr val="accent6"/>
              </a:solidFill>
              <a:ln w="19050">
                <a:solidFill>
                  <a:schemeClr val="lt1"/>
                </a:solidFill>
              </a:ln>
              <a:effectLst/>
            </c:spPr>
          </c:dPt>
          <c:dPt>
            <c:idx val="6"/>
            <c:invertIfNegative val="0"/>
            <c:bubble3D val="0"/>
            <c:spPr>
              <a:solidFill>
                <a:schemeClr val="accent1">
                  <a:lumMod val="60000"/>
                </a:schemeClr>
              </a:solidFill>
              <a:ln w="19050">
                <a:solidFill>
                  <a:schemeClr val="lt1"/>
                </a:solidFill>
              </a:ln>
              <a:effectLst/>
            </c:spPr>
          </c:dPt>
          <c:dPt>
            <c:idx val="7"/>
            <c:invertIfNegative val="0"/>
            <c:bubble3D val="0"/>
            <c:spPr>
              <a:solidFill>
                <a:schemeClr val="accent2">
                  <a:lumMod val="60000"/>
                </a:schemeClr>
              </a:solidFill>
              <a:ln w="19050">
                <a:solidFill>
                  <a:schemeClr val="lt1"/>
                </a:solidFill>
              </a:ln>
              <a:effectLst/>
            </c:spPr>
          </c:dPt>
          <c:cat>
            <c:strRef>
              <c:f>Sheet1!$A$2:$A$9</c:f>
              <c:strCache>
                <c:ptCount val="8"/>
                <c:pt idx="0">
                  <c:v>Neglect or maltreatment 35%</c:v>
                </c:pt>
                <c:pt idx="1">
                  <c:v>Assault 36%</c:v>
                </c:pt>
                <c:pt idx="2">
                  <c:v>Restraint - mechanical 11%</c:v>
                </c:pt>
                <c:pt idx="3">
                  <c:v>Restraint - physical 58%</c:v>
                </c:pt>
                <c:pt idx="4">
                  <c:v>Detainment - physical structure 35%</c:v>
                </c:pt>
                <c:pt idx="5">
                  <c:v>Detainment - by supervision 51%</c:v>
                </c:pt>
                <c:pt idx="6">
                  <c:v>Torture 16%</c:v>
                </c:pt>
                <c:pt idx="7">
                  <c:v>Cruel, inhuman or degrading treatment 62%</c:v>
                </c:pt>
              </c:strCache>
            </c:strRef>
          </c:cat>
          <c:val>
            <c:numRef>
              <c:f>Sheet1!$B$2:$B$9</c:f>
              <c:numCache>
                <c:formatCode>General</c:formatCode>
                <c:ptCount val="8"/>
                <c:pt idx="0">
                  <c:v>34.549999999999997</c:v>
                </c:pt>
                <c:pt idx="1">
                  <c:v>36.36</c:v>
                </c:pt>
                <c:pt idx="2">
                  <c:v>10.91</c:v>
                </c:pt>
                <c:pt idx="3">
                  <c:v>58.18</c:v>
                </c:pt>
                <c:pt idx="4">
                  <c:v>34.549999999999997</c:v>
                </c:pt>
                <c:pt idx="5">
                  <c:v>50.91</c:v>
                </c:pt>
                <c:pt idx="6">
                  <c:v>16.36</c:v>
                </c:pt>
                <c:pt idx="7">
                  <c:v>61.82</c:v>
                </c:pt>
              </c:numCache>
            </c:numRef>
          </c:val>
        </c:ser>
        <c:dLbls>
          <c:showLegendKey val="0"/>
          <c:showVal val="0"/>
          <c:showCatName val="0"/>
          <c:showSerName val="0"/>
          <c:showPercent val="0"/>
          <c:showBubbleSize val="0"/>
        </c:dLbls>
        <c:gapWidth val="34"/>
        <c:axId val="125037056"/>
        <c:axId val="270700480"/>
      </c:barChart>
      <c:valAx>
        <c:axId val="2707004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037056"/>
        <c:crosses val="autoZero"/>
        <c:crossBetween val="between"/>
      </c:valAx>
      <c:catAx>
        <c:axId val="1250370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900" b="0" i="0" u="none" strike="noStrike" kern="1200" baseline="0">
                <a:solidFill>
                  <a:schemeClr val="tx1">
                    <a:lumMod val="65000"/>
                    <a:lumOff val="35000"/>
                  </a:schemeClr>
                </a:solidFill>
                <a:latin typeface="+mn-lt"/>
                <a:ea typeface="+mn-ea"/>
                <a:cs typeface="+mn-cs"/>
              </a:defRPr>
            </a:pPr>
            <a:endParaRPr lang="en-US"/>
          </a:p>
        </c:txPr>
        <c:crossAx val="2707004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 Greenslade</dc:creator>
  <cp:lastModifiedBy>Julie</cp:lastModifiedBy>
  <cp:revision>2</cp:revision>
  <dcterms:created xsi:type="dcterms:W3CDTF">2016-07-20T21:23:00Z</dcterms:created>
  <dcterms:modified xsi:type="dcterms:W3CDTF">2016-07-20T21:23:00Z</dcterms:modified>
</cp:coreProperties>
</file>