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66BB6" w14:textId="77777777" w:rsidR="00773CED" w:rsidRDefault="00773CED" w:rsidP="00E77028">
      <w:pPr>
        <w:rPr>
          <w:sz w:val="22"/>
          <w:szCs w:val="22"/>
        </w:rPr>
      </w:pPr>
    </w:p>
    <w:p w14:paraId="1A7F0554" w14:textId="77777777" w:rsidR="00773CED" w:rsidRDefault="00773CED" w:rsidP="00E77028">
      <w:pPr>
        <w:rPr>
          <w:sz w:val="22"/>
          <w:szCs w:val="22"/>
        </w:rPr>
      </w:pPr>
    </w:p>
    <w:p w14:paraId="0FC820DF" w14:textId="77777777" w:rsidR="00E77028" w:rsidRPr="00B657FA" w:rsidRDefault="00E77028" w:rsidP="00E77028">
      <w:pPr>
        <w:rPr>
          <w:sz w:val="22"/>
          <w:szCs w:val="22"/>
        </w:rPr>
      </w:pPr>
      <w:bookmarkStart w:id="0" w:name="_GoBack"/>
      <w:bookmarkEnd w:id="0"/>
      <w:r w:rsidRPr="00B657FA">
        <w:rPr>
          <w:sz w:val="22"/>
          <w:szCs w:val="22"/>
        </w:rPr>
        <w:t>The Hon Robert McClelland MP</w:t>
      </w:r>
      <w:r w:rsidRPr="00B657FA">
        <w:rPr>
          <w:rStyle w:val="Strong"/>
          <w:sz w:val="22"/>
          <w:szCs w:val="22"/>
        </w:rPr>
        <w:t xml:space="preserve"> </w:t>
      </w:r>
      <w:r w:rsidRPr="00B657FA">
        <w:rPr>
          <w:rStyle w:val="Strong"/>
          <w:sz w:val="22"/>
          <w:szCs w:val="22"/>
        </w:rPr>
        <w:br/>
      </w:r>
      <w:r>
        <w:rPr>
          <w:sz w:val="22"/>
          <w:szCs w:val="22"/>
        </w:rPr>
        <w:t>Attorney-General</w:t>
      </w:r>
      <w:r w:rsidRPr="00B657FA">
        <w:rPr>
          <w:sz w:val="22"/>
          <w:szCs w:val="22"/>
        </w:rPr>
        <w:br/>
        <w:t>Parliament House</w:t>
      </w:r>
      <w:r w:rsidRPr="00B657FA">
        <w:rPr>
          <w:sz w:val="22"/>
          <w:szCs w:val="22"/>
        </w:rPr>
        <w:br/>
        <w:t>Canberra ACT 2600</w:t>
      </w:r>
    </w:p>
    <w:p w14:paraId="0BA1C097" w14:textId="77777777" w:rsidR="00E77028" w:rsidRPr="00B657FA" w:rsidRDefault="00E77028" w:rsidP="00E77028">
      <w:pPr>
        <w:pStyle w:val="NormalWeb"/>
        <w:spacing w:before="120" w:beforeAutospacing="0" w:after="0" w:afterAutospacing="0"/>
        <w:rPr>
          <w:rFonts w:asciiTheme="minorHAnsi" w:hAnsiTheme="minorHAnsi"/>
          <w:sz w:val="22"/>
          <w:szCs w:val="22"/>
        </w:rPr>
      </w:pPr>
      <w:r w:rsidRPr="00B657FA">
        <w:rPr>
          <w:rFonts w:asciiTheme="minorHAnsi" w:hAnsiTheme="minorHAnsi"/>
          <w:sz w:val="22"/>
          <w:szCs w:val="22"/>
        </w:rPr>
        <w:t>Tel: (02) 6277 7300</w:t>
      </w:r>
      <w:r w:rsidRPr="00B657FA">
        <w:rPr>
          <w:rFonts w:asciiTheme="minorHAnsi" w:hAnsiTheme="minorHAnsi"/>
          <w:sz w:val="22"/>
          <w:szCs w:val="22"/>
        </w:rPr>
        <w:br/>
        <w:t>Fax: (02) 6273 4102</w:t>
      </w:r>
    </w:p>
    <w:p w14:paraId="57660F76" w14:textId="77777777" w:rsidR="00E77028" w:rsidRPr="00B657FA" w:rsidRDefault="00E77028" w:rsidP="00E77028">
      <w:pPr>
        <w:pStyle w:val="Heading2"/>
        <w:rPr>
          <w:rFonts w:asciiTheme="minorHAnsi" w:hAnsiTheme="minorHAnsi"/>
          <w:sz w:val="22"/>
          <w:szCs w:val="22"/>
        </w:rPr>
      </w:pPr>
      <w:r w:rsidRPr="00B657FA">
        <w:rPr>
          <w:rStyle w:val="Strong"/>
          <w:rFonts w:asciiTheme="minorHAnsi" w:hAnsiTheme="minorHAnsi"/>
          <w:sz w:val="22"/>
          <w:szCs w:val="22"/>
        </w:rPr>
        <w:t>Email:</w:t>
      </w:r>
      <w:r w:rsidRPr="00B657FA">
        <w:rPr>
          <w:rFonts w:asciiTheme="minorHAnsi" w:hAnsiTheme="minorHAnsi"/>
          <w:sz w:val="22"/>
          <w:szCs w:val="22"/>
        </w:rPr>
        <w:t xml:space="preserve"> </w:t>
      </w:r>
      <w:hyperlink r:id="rId8" w:history="1">
        <w:r w:rsidRPr="00B657FA">
          <w:rPr>
            <w:rFonts w:asciiTheme="minorHAnsi" w:hAnsiTheme="minorHAnsi"/>
            <w:b w:val="0"/>
            <w:sz w:val="22"/>
            <w:szCs w:val="22"/>
          </w:rPr>
          <w:t>R.McClelland.MP@aph.gov.au</w:t>
        </w:r>
      </w:hyperlink>
    </w:p>
    <w:p w14:paraId="016BFAF6" w14:textId="77777777" w:rsidR="00E77028" w:rsidRPr="00B657FA" w:rsidRDefault="00E77028" w:rsidP="00E77028">
      <w:pPr>
        <w:rPr>
          <w:sz w:val="22"/>
          <w:szCs w:val="22"/>
        </w:rPr>
      </w:pPr>
    </w:p>
    <w:p w14:paraId="268761B9" w14:textId="77777777" w:rsidR="00E77028" w:rsidRPr="00B657FA" w:rsidRDefault="00E77028" w:rsidP="00E77028">
      <w:pPr>
        <w:rPr>
          <w:rStyle w:val="Strong"/>
          <w:sz w:val="22"/>
          <w:szCs w:val="22"/>
        </w:rPr>
      </w:pPr>
      <w:r w:rsidRPr="00B657FA">
        <w:rPr>
          <w:sz w:val="22"/>
          <w:szCs w:val="22"/>
        </w:rPr>
        <w:t>Dear The Hon Robert McClelland MP</w:t>
      </w:r>
      <w:r w:rsidRPr="00B657FA">
        <w:rPr>
          <w:rStyle w:val="Strong"/>
          <w:sz w:val="22"/>
          <w:szCs w:val="22"/>
        </w:rPr>
        <w:t xml:space="preserve"> </w:t>
      </w:r>
    </w:p>
    <w:p w14:paraId="32BCAC15" w14:textId="77777777" w:rsidR="00E77028" w:rsidRPr="00B657FA" w:rsidRDefault="00E77028" w:rsidP="00E77028">
      <w:pPr>
        <w:ind w:left="720"/>
        <w:rPr>
          <w:sz w:val="22"/>
          <w:szCs w:val="22"/>
        </w:rPr>
      </w:pPr>
      <w:r w:rsidRPr="00B657FA">
        <w:rPr>
          <w:sz w:val="22"/>
          <w:szCs w:val="22"/>
        </w:rPr>
        <w:t xml:space="preserve">Subject: </w:t>
      </w:r>
      <w:r w:rsidRPr="00B657FA">
        <w:rPr>
          <w:b/>
          <w:sz w:val="22"/>
          <w:szCs w:val="22"/>
        </w:rPr>
        <w:t>Australian law promotes disability discrimination</w:t>
      </w:r>
    </w:p>
    <w:p w14:paraId="0B22779D" w14:textId="77777777" w:rsidR="00E77028" w:rsidRPr="00B657FA" w:rsidRDefault="00E77028" w:rsidP="00E77028">
      <w:pPr>
        <w:rPr>
          <w:sz w:val="22"/>
          <w:szCs w:val="22"/>
        </w:rPr>
      </w:pPr>
      <w:r w:rsidRPr="00B657FA">
        <w:rPr>
          <w:sz w:val="22"/>
          <w:szCs w:val="22"/>
        </w:rPr>
        <w:t>I write this open letter expressing the concerns and disappointment of people with autism spectrum disorders (ASD), their families and associates about the ongoing refusal of Governments in Australia to protect people with ASD and their associates from discrimination.</w:t>
      </w:r>
    </w:p>
    <w:p w14:paraId="445372ED" w14:textId="77777777" w:rsidR="00E77028" w:rsidRPr="00B657FA" w:rsidRDefault="00E77028" w:rsidP="00E77028">
      <w:pPr>
        <w:rPr>
          <w:sz w:val="22"/>
          <w:szCs w:val="22"/>
        </w:rPr>
      </w:pPr>
      <w:r w:rsidRPr="00B657FA">
        <w:rPr>
          <w:sz w:val="22"/>
          <w:szCs w:val="22"/>
        </w:rPr>
        <w:t xml:space="preserve">In particular, I refer to the recent Federal Court decision in </w:t>
      </w:r>
      <w:hyperlink r:id="rId9" w:history="1">
        <w:r w:rsidRPr="00B657FA">
          <w:rPr>
            <w:rStyle w:val="Hyperlink"/>
            <w:i/>
            <w:iCs/>
            <w:sz w:val="22"/>
            <w:szCs w:val="22"/>
          </w:rPr>
          <w:t>Walker v State of Victoria [2011] FCA 258</w:t>
        </w:r>
      </w:hyperlink>
      <w:r w:rsidRPr="00B657FA">
        <w:rPr>
          <w:sz w:val="22"/>
          <w:szCs w:val="22"/>
        </w:rPr>
        <w:t xml:space="preserve"> showing Australian laws, their interpretation and the conduct of the Courts promote discrimination against people with autism spectrum disorders (ASD). Autism Asperger Advocacy Australia (A4) previously expressed concern over Australia’s discrimination law as pronounced by the High Court in </w:t>
      </w:r>
      <w:r w:rsidRPr="00B657FA">
        <w:rPr>
          <w:rStyle w:val="Emphasis"/>
          <w:sz w:val="22"/>
          <w:szCs w:val="22"/>
        </w:rPr>
        <w:t>Purvis v The State of New South Wales (Department of Education and Training)</w:t>
      </w:r>
      <w:r w:rsidRPr="00B657FA">
        <w:rPr>
          <w:rStyle w:val="Emphasis"/>
          <w:i w:val="0"/>
          <w:sz w:val="22"/>
          <w:szCs w:val="22"/>
        </w:rPr>
        <w:t>. Our concern is now reality.</w:t>
      </w:r>
    </w:p>
    <w:p w14:paraId="506CC8B9" w14:textId="77777777" w:rsidR="00E77028" w:rsidRPr="00B657FA" w:rsidRDefault="00E77028" w:rsidP="00E77028">
      <w:pPr>
        <w:rPr>
          <w:sz w:val="22"/>
          <w:szCs w:val="22"/>
        </w:rPr>
      </w:pPr>
      <w:r w:rsidRPr="00B657FA">
        <w:rPr>
          <w:sz w:val="22"/>
          <w:szCs w:val="22"/>
        </w:rPr>
        <w:t xml:space="preserve">The Applicant in </w:t>
      </w:r>
      <w:r w:rsidRPr="00B657FA">
        <w:rPr>
          <w:i/>
          <w:sz w:val="22"/>
          <w:szCs w:val="22"/>
        </w:rPr>
        <w:t>Walker v State of Victoria</w:t>
      </w:r>
      <w:r w:rsidRPr="00B657FA">
        <w:rPr>
          <w:sz w:val="22"/>
          <w:szCs w:val="22"/>
        </w:rPr>
        <w:t>, Alex Walker, has Asperger’s Disorder. The decision says …</w:t>
      </w:r>
    </w:p>
    <w:p w14:paraId="785D4276" w14:textId="77777777" w:rsidR="00E77028" w:rsidRPr="00B657FA" w:rsidRDefault="00E77028" w:rsidP="00E77028">
      <w:pPr>
        <w:pStyle w:val="ParaNumbering"/>
        <w:numPr>
          <w:ilvl w:val="0"/>
          <w:numId w:val="0"/>
        </w:numPr>
        <w:tabs>
          <w:tab w:val="left" w:pos="720"/>
        </w:tabs>
        <w:spacing w:before="120" w:after="0" w:line="240" w:lineRule="auto"/>
        <w:ind w:left="709" w:hanging="567"/>
        <w:rPr>
          <w:rFonts w:asciiTheme="minorHAnsi" w:hAnsiTheme="minorHAnsi"/>
          <w:sz w:val="22"/>
          <w:szCs w:val="22"/>
        </w:rPr>
      </w:pPr>
      <w:proofErr w:type="gramStart"/>
      <w:r w:rsidRPr="00B657FA">
        <w:rPr>
          <w:rFonts w:asciiTheme="minorHAnsi" w:hAnsiTheme="minorHAnsi"/>
          <w:sz w:val="22"/>
          <w:szCs w:val="22"/>
        </w:rPr>
        <w:t>2</w:t>
      </w:r>
      <w:r w:rsidRPr="00B657FA">
        <w:rPr>
          <w:rFonts w:asciiTheme="minorHAnsi" w:hAnsiTheme="minorHAnsi"/>
          <w:sz w:val="22"/>
          <w:szCs w:val="22"/>
        </w:rPr>
        <w:tab/>
      </w:r>
      <w:r w:rsidRPr="00B657FA">
        <w:rPr>
          <w:rFonts w:asciiTheme="minorHAnsi" w:hAnsiTheme="minorHAnsi"/>
          <w:sz w:val="22"/>
          <w:szCs w:val="22"/>
        </w:rPr>
        <w:tab/>
      </w:r>
      <w:r>
        <w:rPr>
          <w:rFonts w:asciiTheme="minorHAnsi" w:hAnsiTheme="minorHAnsi"/>
          <w:sz w:val="22"/>
          <w:szCs w:val="22"/>
        </w:rPr>
        <w:t>…</w:t>
      </w:r>
      <w:r w:rsidRPr="00B657FA">
        <w:rPr>
          <w:rFonts w:asciiTheme="minorHAnsi" w:hAnsiTheme="minorHAnsi"/>
          <w:sz w:val="22"/>
          <w:szCs w:val="22"/>
        </w:rPr>
        <w:t>.</w:t>
      </w:r>
      <w:proofErr w:type="gramEnd"/>
      <w:r w:rsidRPr="00B657FA">
        <w:rPr>
          <w:rFonts w:asciiTheme="minorHAnsi" w:hAnsiTheme="minorHAnsi"/>
          <w:sz w:val="22"/>
          <w:szCs w:val="22"/>
        </w:rPr>
        <w:t xml:space="preserve">  It was common ground that he [Alex Walker] suffered and suffers from a number of disabilities including … Asperger’s syndrome. </w:t>
      </w:r>
    </w:p>
    <w:p w14:paraId="2CCBA03B" w14:textId="77777777" w:rsidR="00E77028" w:rsidRPr="00B657FA" w:rsidRDefault="00E77028" w:rsidP="00E77028">
      <w:pPr>
        <w:rPr>
          <w:sz w:val="22"/>
          <w:szCs w:val="22"/>
        </w:rPr>
      </w:pPr>
      <w:r w:rsidRPr="00B657FA">
        <w:rPr>
          <w:sz w:val="22"/>
          <w:szCs w:val="22"/>
        </w:rPr>
        <w:t xml:space="preserve">Students with Asperger’s Disorder/syndrome </w:t>
      </w:r>
      <w:r>
        <w:rPr>
          <w:sz w:val="22"/>
          <w:szCs w:val="22"/>
        </w:rPr>
        <w:t xml:space="preserve">are students with a disability. Many students need </w:t>
      </w:r>
      <w:r w:rsidRPr="00B657FA">
        <w:rPr>
          <w:sz w:val="22"/>
          <w:szCs w:val="22"/>
        </w:rPr>
        <w:t>“reas</w:t>
      </w:r>
      <w:r>
        <w:rPr>
          <w:sz w:val="22"/>
          <w:szCs w:val="22"/>
        </w:rPr>
        <w:t xml:space="preserve">onable adjustments” in </w:t>
      </w:r>
      <w:r w:rsidRPr="00B657FA">
        <w:rPr>
          <w:sz w:val="22"/>
          <w:szCs w:val="22"/>
        </w:rPr>
        <w:t>t</w:t>
      </w:r>
      <w:r>
        <w:rPr>
          <w:sz w:val="22"/>
          <w:szCs w:val="22"/>
        </w:rPr>
        <w:t>heir education. The DDA is meant to ensure that schools make “reasonable adjustments” for people with a disability.</w:t>
      </w:r>
    </w:p>
    <w:p w14:paraId="1ACEB88D" w14:textId="77777777" w:rsidR="00E77028" w:rsidRPr="00B657FA" w:rsidRDefault="00E77028" w:rsidP="00E77028">
      <w:pPr>
        <w:rPr>
          <w:sz w:val="22"/>
          <w:szCs w:val="22"/>
        </w:rPr>
      </w:pPr>
      <w:r w:rsidRPr="00B657FA">
        <w:rPr>
          <w:sz w:val="22"/>
          <w:szCs w:val="22"/>
        </w:rPr>
        <w:t>The Respondent</w:t>
      </w:r>
      <w:r>
        <w:rPr>
          <w:sz w:val="22"/>
          <w:szCs w:val="22"/>
        </w:rPr>
        <w:t xml:space="preserve"> [representing schools that Alex Walker attended]</w:t>
      </w:r>
      <w:r w:rsidRPr="00B657FA">
        <w:rPr>
          <w:sz w:val="22"/>
          <w:szCs w:val="22"/>
        </w:rPr>
        <w:t xml:space="preserve"> did not make reasonable adjustments to their behaviour management po</w:t>
      </w:r>
      <w:r>
        <w:rPr>
          <w:sz w:val="22"/>
          <w:szCs w:val="22"/>
        </w:rPr>
        <w:t>licy and practice in respect of</w:t>
      </w:r>
      <w:r w:rsidRPr="00B657FA">
        <w:rPr>
          <w:sz w:val="22"/>
          <w:szCs w:val="22"/>
        </w:rPr>
        <w:t xml:space="preserve"> Alex’s disability; adjustments that are clearly essential in relation to his disability. </w:t>
      </w:r>
    </w:p>
    <w:p w14:paraId="078AA6C8" w14:textId="77777777" w:rsidR="00E77028" w:rsidRPr="00B657FA" w:rsidRDefault="00E77028" w:rsidP="00E77028">
      <w:pPr>
        <w:rPr>
          <w:sz w:val="22"/>
          <w:szCs w:val="22"/>
        </w:rPr>
      </w:pPr>
      <w:r w:rsidRPr="00B657FA">
        <w:rPr>
          <w:sz w:val="22"/>
          <w:szCs w:val="22"/>
        </w:rPr>
        <w:t xml:space="preserve">The Judge did not expect the Respondent to make “reasonable adjustments” for the Applicant’s disability. The requirement to make “reasonable adjustments” was always part of the </w:t>
      </w:r>
      <w:r w:rsidRPr="00B657FA">
        <w:rPr>
          <w:i/>
          <w:sz w:val="22"/>
          <w:szCs w:val="22"/>
        </w:rPr>
        <w:t>Disability Discrimination Act</w:t>
      </w:r>
      <w:r w:rsidRPr="00B657FA">
        <w:rPr>
          <w:sz w:val="22"/>
          <w:szCs w:val="22"/>
        </w:rPr>
        <w:t xml:space="preserve"> and of the associated Education Standards.  </w:t>
      </w:r>
      <w:r>
        <w:rPr>
          <w:sz w:val="22"/>
          <w:szCs w:val="22"/>
        </w:rPr>
        <w:t xml:space="preserve">And </w:t>
      </w:r>
      <w:r w:rsidRPr="00B657FA">
        <w:rPr>
          <w:sz w:val="22"/>
          <w:szCs w:val="22"/>
        </w:rPr>
        <w:t xml:space="preserve">HREOC claims (see </w:t>
      </w:r>
      <w:hyperlink r:id="rId10" w:anchor="adjustment" w:history="1">
        <w:r w:rsidRPr="00B657FA">
          <w:rPr>
            <w:rStyle w:val="Hyperlink"/>
            <w:sz w:val="22"/>
            <w:szCs w:val="22"/>
          </w:rPr>
          <w:t>http://www.hreoc.gov.au/disability_rights/legislation/2009.htm#adjustment</w:t>
        </w:r>
      </w:hyperlink>
      <w:r w:rsidRPr="00B657FA">
        <w:rPr>
          <w:sz w:val="22"/>
          <w:szCs w:val="22"/>
        </w:rPr>
        <w:t xml:space="preserve">) the recent changes to the legislation are “intended to remove doubt” on this issue. </w:t>
      </w:r>
    </w:p>
    <w:p w14:paraId="6D2D0AEA" w14:textId="77777777" w:rsidR="00E77028" w:rsidRPr="00B657FA" w:rsidRDefault="00E77028" w:rsidP="00E77028">
      <w:pPr>
        <w:rPr>
          <w:sz w:val="22"/>
          <w:szCs w:val="22"/>
        </w:rPr>
      </w:pPr>
      <w:r>
        <w:rPr>
          <w:sz w:val="22"/>
          <w:szCs w:val="22"/>
        </w:rPr>
        <w:lastRenderedPageBreak/>
        <w:t>T</w:t>
      </w:r>
      <w:r w:rsidRPr="00B657FA">
        <w:rPr>
          <w:sz w:val="22"/>
          <w:szCs w:val="22"/>
        </w:rPr>
        <w:t xml:space="preserve">he </w:t>
      </w:r>
      <w:r w:rsidRPr="00B657FA">
        <w:rPr>
          <w:i/>
          <w:sz w:val="22"/>
          <w:szCs w:val="22"/>
        </w:rPr>
        <w:t>Walker v State of Victoria</w:t>
      </w:r>
      <w:r w:rsidRPr="00B657FA">
        <w:rPr>
          <w:sz w:val="22"/>
          <w:szCs w:val="22"/>
        </w:rPr>
        <w:t xml:space="preserve"> decision </w:t>
      </w:r>
      <w:r>
        <w:rPr>
          <w:sz w:val="22"/>
          <w:szCs w:val="22"/>
        </w:rPr>
        <w:t>shows</w:t>
      </w:r>
      <w:r w:rsidRPr="00B657FA">
        <w:rPr>
          <w:sz w:val="22"/>
          <w:szCs w:val="22"/>
        </w:rPr>
        <w:t xml:space="preserve"> that the Court and the Respondent have a particularly poor understanding of disability </w:t>
      </w:r>
      <w:r>
        <w:rPr>
          <w:sz w:val="22"/>
          <w:szCs w:val="22"/>
        </w:rPr>
        <w:t xml:space="preserve">and </w:t>
      </w:r>
      <w:r w:rsidRPr="00B657FA">
        <w:rPr>
          <w:sz w:val="22"/>
          <w:szCs w:val="22"/>
        </w:rPr>
        <w:t xml:space="preserve">discrimination … and of the Applicant and his situation. </w:t>
      </w:r>
    </w:p>
    <w:p w14:paraId="74089F0D" w14:textId="77777777" w:rsidR="00E77028" w:rsidRPr="00B657FA" w:rsidRDefault="00E77028" w:rsidP="00E77028">
      <w:pPr>
        <w:rPr>
          <w:sz w:val="22"/>
          <w:szCs w:val="22"/>
        </w:rPr>
      </w:pPr>
      <w:r w:rsidRPr="00B657FA">
        <w:rPr>
          <w:sz w:val="22"/>
          <w:szCs w:val="22"/>
        </w:rPr>
        <w:t xml:space="preserve">The Court shows little or no understanding of Alex’s disability … possibly, it shows a strong prejudice against Alex because of his disability. Throughout the decision, the Judge refers to Alex’s disability as “misconduct” and ”misbehaviour”. The Federal Court </w:t>
      </w:r>
      <w:r>
        <w:rPr>
          <w:sz w:val="22"/>
          <w:szCs w:val="22"/>
        </w:rPr>
        <w:t>must</w:t>
      </w:r>
      <w:r w:rsidRPr="00B657FA">
        <w:rPr>
          <w:sz w:val="22"/>
          <w:szCs w:val="22"/>
        </w:rPr>
        <w:t xml:space="preserve"> do better than this.</w:t>
      </w:r>
    </w:p>
    <w:p w14:paraId="09CAB33B" w14:textId="77777777" w:rsidR="00E77028" w:rsidRPr="00B657FA" w:rsidRDefault="00E77028" w:rsidP="00E77028">
      <w:pPr>
        <w:rPr>
          <w:rStyle w:val="Emphasis"/>
          <w:i w:val="0"/>
          <w:sz w:val="22"/>
          <w:szCs w:val="22"/>
        </w:rPr>
      </w:pPr>
      <w:r w:rsidRPr="00B657FA">
        <w:rPr>
          <w:sz w:val="22"/>
          <w:szCs w:val="22"/>
        </w:rPr>
        <w:t xml:space="preserve">A4 has always been concerned about The Comparator as the High Court set it out in </w:t>
      </w:r>
      <w:r w:rsidRPr="00B657FA">
        <w:rPr>
          <w:rStyle w:val="Emphasis"/>
          <w:sz w:val="22"/>
          <w:szCs w:val="22"/>
        </w:rPr>
        <w:t>Purvis v The State of New South Wales (Department of Education and Training)</w:t>
      </w:r>
      <w:r w:rsidRPr="00B657FA">
        <w:rPr>
          <w:rStyle w:val="Emphasis"/>
          <w:i w:val="0"/>
          <w:sz w:val="22"/>
          <w:szCs w:val="22"/>
        </w:rPr>
        <w:t xml:space="preserve">. </w:t>
      </w:r>
      <w:r>
        <w:rPr>
          <w:rStyle w:val="Emphasis"/>
          <w:i w:val="0"/>
          <w:sz w:val="22"/>
          <w:szCs w:val="22"/>
        </w:rPr>
        <w:t xml:space="preserve">The decision in </w:t>
      </w:r>
      <w:r w:rsidRPr="00B657FA">
        <w:rPr>
          <w:i/>
          <w:sz w:val="22"/>
          <w:szCs w:val="22"/>
        </w:rPr>
        <w:t>Walker v State of Victoria</w:t>
      </w:r>
      <w:r w:rsidRPr="00B657FA">
        <w:rPr>
          <w:rStyle w:val="Emphasis"/>
          <w:i w:val="0"/>
          <w:sz w:val="22"/>
          <w:szCs w:val="22"/>
        </w:rPr>
        <w:t xml:space="preserve"> says …</w:t>
      </w:r>
    </w:p>
    <w:p w14:paraId="404A9B80" w14:textId="77777777" w:rsidR="00E77028" w:rsidRPr="00B657FA" w:rsidRDefault="00E77028" w:rsidP="00E77028">
      <w:pPr>
        <w:pStyle w:val="ParaNumbering"/>
        <w:numPr>
          <w:ilvl w:val="0"/>
          <w:numId w:val="0"/>
        </w:numPr>
        <w:tabs>
          <w:tab w:val="left" w:pos="720"/>
        </w:tabs>
        <w:spacing w:before="120" w:after="0" w:line="240" w:lineRule="auto"/>
        <w:ind w:left="709" w:hanging="567"/>
        <w:rPr>
          <w:rFonts w:asciiTheme="minorHAnsi" w:hAnsiTheme="minorHAnsi"/>
          <w:sz w:val="22"/>
          <w:szCs w:val="22"/>
        </w:rPr>
      </w:pPr>
      <w:r w:rsidRPr="00B657FA">
        <w:rPr>
          <w:rFonts w:asciiTheme="minorHAnsi" w:hAnsiTheme="minorHAnsi"/>
          <w:sz w:val="22"/>
          <w:szCs w:val="22"/>
        </w:rPr>
        <w:t>118</w:t>
      </w:r>
      <w:r w:rsidRPr="00B657FA">
        <w:rPr>
          <w:rFonts w:asciiTheme="minorHAnsi" w:hAnsiTheme="minorHAnsi"/>
          <w:sz w:val="22"/>
          <w:szCs w:val="22"/>
        </w:rPr>
        <w:tab/>
      </w:r>
      <w:r w:rsidRPr="00B657FA">
        <w:rPr>
          <w:rFonts w:asciiTheme="minorHAnsi" w:hAnsiTheme="minorHAnsi"/>
          <w:sz w:val="22"/>
          <w:szCs w:val="22"/>
        </w:rPr>
        <w:tab/>
        <w:t>Alex contended that, in excluding him from the playground and from school during recess and lunch breaks between 2005 and 2006, the Department directly discriminated against him, contrary to the provisions of 22(2) of the DDA.  This contention must fail.</w:t>
      </w:r>
    </w:p>
    <w:p w14:paraId="093C58C4" w14:textId="77777777" w:rsidR="00E77028" w:rsidRPr="00B657FA" w:rsidRDefault="00E77028" w:rsidP="00E77028">
      <w:pPr>
        <w:pStyle w:val="ParaNumbering"/>
        <w:numPr>
          <w:ilvl w:val="0"/>
          <w:numId w:val="0"/>
        </w:numPr>
        <w:tabs>
          <w:tab w:val="left" w:pos="720"/>
        </w:tabs>
        <w:spacing w:before="120" w:after="0" w:line="240" w:lineRule="auto"/>
        <w:ind w:left="709" w:hanging="567"/>
        <w:rPr>
          <w:rFonts w:asciiTheme="minorHAnsi" w:hAnsiTheme="minorHAnsi"/>
          <w:sz w:val="22"/>
          <w:szCs w:val="22"/>
        </w:rPr>
      </w:pPr>
      <w:r w:rsidRPr="00B657FA">
        <w:rPr>
          <w:rFonts w:asciiTheme="minorHAnsi" w:hAnsiTheme="minorHAnsi"/>
          <w:sz w:val="22"/>
          <w:szCs w:val="22"/>
        </w:rPr>
        <w:t>119</w:t>
      </w:r>
      <w:r w:rsidRPr="00B657FA">
        <w:rPr>
          <w:rFonts w:asciiTheme="minorHAnsi" w:hAnsiTheme="minorHAnsi"/>
          <w:sz w:val="22"/>
          <w:szCs w:val="22"/>
        </w:rPr>
        <w:tab/>
      </w:r>
      <w:r w:rsidRPr="00B657FA">
        <w:rPr>
          <w:rFonts w:asciiTheme="minorHAnsi" w:hAnsiTheme="minorHAnsi"/>
          <w:sz w:val="22"/>
          <w:szCs w:val="22"/>
        </w:rPr>
        <w:tab/>
        <w:t xml:space="preserve">It must fail because it cannot be said that the Department (or Branxholme) would have treated another student without Alex’s disabilities any differently from the way in which it treated Alex.  This is because the relevant comparator is a student displaying the same behaviour as Alex did but without the disability, not a student without the disability and without the behaviour.  Furthermore, Alex has not established that, in imposing the relevant regime, the Department subjected him to any detriment.  </w:t>
      </w:r>
    </w:p>
    <w:p w14:paraId="6B2613D1" w14:textId="77777777" w:rsidR="00E77028" w:rsidRPr="00B657FA" w:rsidRDefault="00E77028" w:rsidP="00E77028">
      <w:pPr>
        <w:rPr>
          <w:sz w:val="22"/>
          <w:szCs w:val="22"/>
        </w:rPr>
      </w:pPr>
      <w:r>
        <w:rPr>
          <w:sz w:val="22"/>
          <w:szCs w:val="22"/>
        </w:rPr>
        <w:t>The decision fails to explain the Comparator that is used: who precisely is this</w:t>
      </w:r>
      <w:r w:rsidRPr="00B657FA">
        <w:rPr>
          <w:sz w:val="22"/>
          <w:szCs w:val="22"/>
        </w:rPr>
        <w:t xml:space="preserve"> “student displaying the same behaviour as Alex did but without the disability”</w:t>
      </w:r>
      <w:r>
        <w:rPr>
          <w:sz w:val="22"/>
          <w:szCs w:val="22"/>
        </w:rPr>
        <w:t xml:space="preserve"> (paragraph 119)?</w:t>
      </w:r>
      <w:r w:rsidRPr="00B657FA">
        <w:rPr>
          <w:sz w:val="22"/>
          <w:szCs w:val="22"/>
        </w:rPr>
        <w:t xml:space="preserve"> </w:t>
      </w:r>
      <w:r>
        <w:rPr>
          <w:sz w:val="22"/>
          <w:szCs w:val="22"/>
        </w:rPr>
        <w:t>Apparently, t</w:t>
      </w:r>
      <w:r w:rsidRPr="00B657FA">
        <w:rPr>
          <w:sz w:val="22"/>
          <w:szCs w:val="22"/>
        </w:rPr>
        <w:t xml:space="preserve">he Court is unaware of or just ignores the fact that by definition any student who displays the same behaviour as Alex over an extended period </w:t>
      </w:r>
      <w:r>
        <w:rPr>
          <w:sz w:val="22"/>
          <w:szCs w:val="22"/>
        </w:rPr>
        <w:t>also has Asperger’s Disorder</w:t>
      </w:r>
      <w:r w:rsidRPr="00B657FA">
        <w:rPr>
          <w:sz w:val="22"/>
          <w:szCs w:val="22"/>
        </w:rPr>
        <w:t xml:space="preserve">. </w:t>
      </w:r>
      <w:r>
        <w:rPr>
          <w:sz w:val="22"/>
          <w:szCs w:val="22"/>
        </w:rPr>
        <w:t xml:space="preserve">Not having a diagnosis does not mean a hypothetical comparator is “without the disability”. </w:t>
      </w:r>
    </w:p>
    <w:p w14:paraId="2ED3371B" w14:textId="77777777" w:rsidR="00E77028" w:rsidRPr="00B657FA" w:rsidRDefault="00E77028" w:rsidP="00E77028">
      <w:pPr>
        <w:rPr>
          <w:sz w:val="22"/>
          <w:szCs w:val="22"/>
        </w:rPr>
      </w:pPr>
      <w:r>
        <w:rPr>
          <w:sz w:val="22"/>
          <w:szCs w:val="22"/>
        </w:rPr>
        <w:t>The court cannot regard someone with another disorder, such as</w:t>
      </w:r>
      <w:r w:rsidRPr="00B657FA">
        <w:rPr>
          <w:sz w:val="22"/>
          <w:szCs w:val="22"/>
        </w:rPr>
        <w:t xml:space="preserve"> Oppositional Defiance Disorder </w:t>
      </w:r>
      <w:r>
        <w:rPr>
          <w:sz w:val="22"/>
          <w:szCs w:val="22"/>
        </w:rPr>
        <w:t xml:space="preserve">(ODD) </w:t>
      </w:r>
      <w:r w:rsidRPr="00B657FA">
        <w:rPr>
          <w:sz w:val="22"/>
          <w:szCs w:val="22"/>
        </w:rPr>
        <w:t xml:space="preserve">or some other </w:t>
      </w:r>
      <w:r>
        <w:rPr>
          <w:sz w:val="22"/>
          <w:szCs w:val="22"/>
        </w:rPr>
        <w:t>behaviour/conduct</w:t>
      </w:r>
      <w:r w:rsidRPr="00B657FA">
        <w:rPr>
          <w:sz w:val="22"/>
          <w:szCs w:val="22"/>
        </w:rPr>
        <w:t xml:space="preserve"> disorder that is </w:t>
      </w:r>
      <w:r>
        <w:rPr>
          <w:sz w:val="22"/>
          <w:szCs w:val="22"/>
        </w:rPr>
        <w:t xml:space="preserve">also </w:t>
      </w:r>
      <w:r w:rsidRPr="00B657FA">
        <w:rPr>
          <w:sz w:val="22"/>
          <w:szCs w:val="22"/>
        </w:rPr>
        <w:t xml:space="preserve">manifest through </w:t>
      </w:r>
      <w:r>
        <w:rPr>
          <w:sz w:val="22"/>
          <w:szCs w:val="22"/>
        </w:rPr>
        <w:t xml:space="preserve">what the Court regards as </w:t>
      </w:r>
      <w:r w:rsidRPr="00B657FA">
        <w:rPr>
          <w:sz w:val="22"/>
          <w:szCs w:val="22"/>
        </w:rPr>
        <w:t>“misconduc</w:t>
      </w:r>
      <w:r>
        <w:rPr>
          <w:sz w:val="22"/>
          <w:szCs w:val="22"/>
        </w:rPr>
        <w:t xml:space="preserve">t” and ”misbehaviour” (see </w:t>
      </w:r>
      <w:hyperlink r:id="rId11" w:history="1">
        <w:r w:rsidRPr="00747FD3">
          <w:rPr>
            <w:rStyle w:val="Hyperlink"/>
            <w:sz w:val="22"/>
            <w:szCs w:val="22"/>
          </w:rPr>
          <w:t>http://www.betterhealth.vic.gov.au/bhcv2/bhcarticles.nsf/pages/Oppositional_defiant_disorder</w:t>
        </w:r>
      </w:hyperlink>
      <w:r>
        <w:rPr>
          <w:sz w:val="22"/>
          <w:szCs w:val="22"/>
        </w:rPr>
        <w:t xml:space="preserve"> or </w:t>
      </w:r>
      <w:hyperlink r:id="rId12" w:history="1">
        <w:r w:rsidRPr="00747FD3">
          <w:rPr>
            <w:rStyle w:val="Hyperlink"/>
            <w:sz w:val="22"/>
            <w:szCs w:val="22"/>
          </w:rPr>
          <w:t>http://www.healthinsite.gov.au/topics/Maladaptive_Behaviours_in_Childhood</w:t>
        </w:r>
      </w:hyperlink>
      <w:r>
        <w:rPr>
          <w:sz w:val="22"/>
          <w:szCs w:val="22"/>
        </w:rPr>
        <w:t>), as the comparator.</w:t>
      </w:r>
      <w:r w:rsidRPr="00B657FA">
        <w:rPr>
          <w:sz w:val="22"/>
          <w:szCs w:val="22"/>
        </w:rPr>
        <w:t xml:space="preserve">  Even if the Court regard</w:t>
      </w:r>
      <w:r>
        <w:rPr>
          <w:sz w:val="22"/>
          <w:szCs w:val="22"/>
        </w:rPr>
        <w:t xml:space="preserve">s such maladaptive </w:t>
      </w:r>
      <w:r w:rsidRPr="00B657FA">
        <w:rPr>
          <w:sz w:val="22"/>
          <w:szCs w:val="22"/>
        </w:rPr>
        <w:t xml:space="preserve">behaviour as “the relevant comparator”, the Court has not shown </w:t>
      </w:r>
      <w:r>
        <w:rPr>
          <w:sz w:val="22"/>
          <w:szCs w:val="22"/>
        </w:rPr>
        <w:t xml:space="preserve">in its decision </w:t>
      </w:r>
      <w:r w:rsidRPr="00B657FA">
        <w:rPr>
          <w:sz w:val="22"/>
          <w:szCs w:val="22"/>
        </w:rPr>
        <w:t xml:space="preserve">that the </w:t>
      </w:r>
      <w:r>
        <w:rPr>
          <w:sz w:val="22"/>
          <w:szCs w:val="22"/>
        </w:rPr>
        <w:t xml:space="preserve">school’s </w:t>
      </w:r>
      <w:r w:rsidRPr="00B657FA">
        <w:rPr>
          <w:sz w:val="22"/>
          <w:szCs w:val="22"/>
        </w:rPr>
        <w:t xml:space="preserve">treatment of Alex was appropriate for </w:t>
      </w:r>
      <w:r>
        <w:rPr>
          <w:sz w:val="22"/>
          <w:szCs w:val="22"/>
        </w:rPr>
        <w:t>the “</w:t>
      </w:r>
      <w:r w:rsidRPr="00B657FA">
        <w:rPr>
          <w:sz w:val="22"/>
          <w:szCs w:val="22"/>
        </w:rPr>
        <w:t xml:space="preserve">comparator”. </w:t>
      </w:r>
      <w:r>
        <w:rPr>
          <w:sz w:val="22"/>
          <w:szCs w:val="22"/>
        </w:rPr>
        <w:t xml:space="preserve">But these are not an appropriate “comparator”. </w:t>
      </w:r>
    </w:p>
    <w:p w14:paraId="77F5DC26" w14:textId="77777777" w:rsidR="00E77028" w:rsidRDefault="00E77028" w:rsidP="00E77028">
      <w:pPr>
        <w:rPr>
          <w:sz w:val="22"/>
          <w:szCs w:val="22"/>
        </w:rPr>
      </w:pPr>
      <w:r w:rsidRPr="00B657FA">
        <w:rPr>
          <w:sz w:val="22"/>
          <w:szCs w:val="22"/>
        </w:rPr>
        <w:t xml:space="preserve">Another </w:t>
      </w:r>
      <w:r>
        <w:rPr>
          <w:sz w:val="22"/>
          <w:szCs w:val="22"/>
        </w:rPr>
        <w:t>“relevant comparator”</w:t>
      </w:r>
      <w:r w:rsidRPr="00B657FA">
        <w:rPr>
          <w:sz w:val="22"/>
          <w:szCs w:val="22"/>
        </w:rPr>
        <w:t xml:space="preserve"> is needed</w:t>
      </w:r>
      <w:r>
        <w:rPr>
          <w:sz w:val="22"/>
          <w:szCs w:val="22"/>
        </w:rPr>
        <w:t>.</w:t>
      </w:r>
      <w:r w:rsidRPr="00B657FA">
        <w:rPr>
          <w:sz w:val="22"/>
          <w:szCs w:val="22"/>
        </w:rPr>
        <w:t xml:space="preserve"> Is “the relevant comparator” someone who behaves like Alex to ridicule people with Asperger’s Disorder? Or is “the relevant comparator” someone who </w:t>
      </w:r>
      <w:r>
        <w:rPr>
          <w:sz w:val="22"/>
          <w:szCs w:val="22"/>
        </w:rPr>
        <w:t xml:space="preserve">does not have a disability yet </w:t>
      </w:r>
      <w:r w:rsidRPr="00B657FA">
        <w:rPr>
          <w:sz w:val="22"/>
          <w:szCs w:val="22"/>
        </w:rPr>
        <w:t>behaves like a “retard” or a “</w:t>
      </w:r>
      <w:proofErr w:type="spellStart"/>
      <w:r w:rsidRPr="00B657FA">
        <w:rPr>
          <w:sz w:val="22"/>
          <w:szCs w:val="22"/>
        </w:rPr>
        <w:t>spasso</w:t>
      </w:r>
      <w:proofErr w:type="spellEnd"/>
      <w:r>
        <w:rPr>
          <w:sz w:val="22"/>
          <w:szCs w:val="22"/>
        </w:rPr>
        <w:t>” with the purpose of</w:t>
      </w:r>
      <w:r w:rsidRPr="00B657FA">
        <w:rPr>
          <w:sz w:val="22"/>
          <w:szCs w:val="22"/>
        </w:rPr>
        <w:t xml:space="preserve"> avoid</w:t>
      </w:r>
      <w:r>
        <w:rPr>
          <w:sz w:val="22"/>
          <w:szCs w:val="22"/>
        </w:rPr>
        <w:t>ing</w:t>
      </w:r>
      <w:r w:rsidRPr="00B657FA">
        <w:rPr>
          <w:sz w:val="22"/>
          <w:szCs w:val="22"/>
        </w:rPr>
        <w:t xml:space="preserve"> some task or a responsibility? </w:t>
      </w:r>
    </w:p>
    <w:p w14:paraId="2E0B99BD" w14:textId="77777777" w:rsidR="00E77028" w:rsidRPr="00B657FA" w:rsidRDefault="00E77028" w:rsidP="00E77028">
      <w:pPr>
        <w:rPr>
          <w:sz w:val="22"/>
          <w:szCs w:val="22"/>
        </w:rPr>
      </w:pPr>
      <w:r>
        <w:rPr>
          <w:sz w:val="22"/>
          <w:szCs w:val="22"/>
        </w:rPr>
        <w:t xml:space="preserve">Is there any other interpretation for the High Court’s </w:t>
      </w:r>
      <w:r w:rsidRPr="000F69EF">
        <w:rPr>
          <w:i/>
          <w:sz w:val="22"/>
          <w:szCs w:val="22"/>
        </w:rPr>
        <w:t>Purvis v NSW</w:t>
      </w:r>
      <w:r w:rsidRPr="000F69EF">
        <w:rPr>
          <w:sz w:val="22"/>
          <w:szCs w:val="22"/>
        </w:rPr>
        <w:t xml:space="preserve"> </w:t>
      </w:r>
      <w:r>
        <w:rPr>
          <w:sz w:val="22"/>
          <w:szCs w:val="22"/>
        </w:rPr>
        <w:t>decision?</w:t>
      </w:r>
    </w:p>
    <w:p w14:paraId="0E15ABEC" w14:textId="77777777" w:rsidR="00E77028" w:rsidRDefault="00E77028" w:rsidP="00E77028">
      <w:pPr>
        <w:rPr>
          <w:sz w:val="22"/>
          <w:szCs w:val="22"/>
        </w:rPr>
      </w:pPr>
      <w:r>
        <w:rPr>
          <w:sz w:val="22"/>
          <w:szCs w:val="22"/>
        </w:rPr>
        <w:t>The Court’s view,</w:t>
      </w:r>
      <w:r w:rsidRPr="00B657FA">
        <w:rPr>
          <w:sz w:val="22"/>
          <w:szCs w:val="22"/>
        </w:rPr>
        <w:t xml:space="preserve"> that Alex should be </w:t>
      </w:r>
      <w:r>
        <w:rPr>
          <w:sz w:val="22"/>
          <w:szCs w:val="22"/>
        </w:rPr>
        <w:t>mis</w:t>
      </w:r>
      <w:r w:rsidRPr="00B657FA">
        <w:rPr>
          <w:sz w:val="22"/>
          <w:szCs w:val="22"/>
        </w:rPr>
        <w:t>treated as if his behav</w:t>
      </w:r>
      <w:r>
        <w:rPr>
          <w:sz w:val="22"/>
          <w:szCs w:val="22"/>
        </w:rPr>
        <w:t xml:space="preserve">iour has </w:t>
      </w:r>
      <w:r w:rsidRPr="00B657FA">
        <w:rPr>
          <w:sz w:val="22"/>
          <w:szCs w:val="22"/>
        </w:rPr>
        <w:t xml:space="preserve">malicious </w:t>
      </w:r>
      <w:r>
        <w:rPr>
          <w:sz w:val="22"/>
          <w:szCs w:val="22"/>
        </w:rPr>
        <w:t xml:space="preserve">or idle </w:t>
      </w:r>
      <w:r w:rsidRPr="00B657FA">
        <w:rPr>
          <w:sz w:val="22"/>
          <w:szCs w:val="22"/>
        </w:rPr>
        <w:t>intent</w:t>
      </w:r>
      <w:r>
        <w:rPr>
          <w:sz w:val="22"/>
          <w:szCs w:val="22"/>
        </w:rPr>
        <w:t xml:space="preserve">, </w:t>
      </w:r>
      <w:r w:rsidRPr="00B657FA">
        <w:rPr>
          <w:sz w:val="22"/>
          <w:szCs w:val="22"/>
        </w:rPr>
        <w:t xml:space="preserve">is cruel and unjust: it is a detriment to Alex and his family. </w:t>
      </w:r>
    </w:p>
    <w:p w14:paraId="7071426A" w14:textId="77777777" w:rsidR="00E77028" w:rsidRDefault="00E77028" w:rsidP="00E77028">
      <w:pPr>
        <w:rPr>
          <w:sz w:val="22"/>
          <w:szCs w:val="22"/>
        </w:rPr>
      </w:pPr>
      <w:r>
        <w:rPr>
          <w:sz w:val="22"/>
          <w:szCs w:val="22"/>
        </w:rPr>
        <w:t xml:space="preserve">Another commentator (see </w:t>
      </w:r>
      <w:hyperlink r:id="rId13" w:history="1">
        <w:r w:rsidRPr="00CC773D">
          <w:rPr>
            <w:rStyle w:val="Hyperlink"/>
            <w:sz w:val="22"/>
            <w:szCs w:val="22"/>
          </w:rPr>
          <w:t>http://rightnow.org.au/news-article/walker-vs-state-of-victoria-and-disability-discrimination/</w:t>
        </w:r>
      </w:hyperlink>
      <w:r>
        <w:rPr>
          <w:sz w:val="22"/>
          <w:szCs w:val="22"/>
        </w:rPr>
        <w:t>) says …</w:t>
      </w:r>
    </w:p>
    <w:p w14:paraId="440DD9DD" w14:textId="77777777" w:rsidR="00E77028" w:rsidRPr="00B657FA" w:rsidRDefault="00E77028" w:rsidP="00E77028">
      <w:pPr>
        <w:ind w:left="720"/>
        <w:rPr>
          <w:sz w:val="22"/>
          <w:szCs w:val="22"/>
        </w:rPr>
      </w:pPr>
      <w:r>
        <w:t xml:space="preserve">This exclusion from education is contrary to the child’s right to an education under Articles 23, 24 and 28 of the </w:t>
      </w:r>
      <w:hyperlink r:id="rId14" w:history="1">
        <w:r>
          <w:rPr>
            <w:rStyle w:val="Hyperlink"/>
            <w:i/>
            <w:iCs/>
          </w:rPr>
          <w:t>Convention on the Rights of the Child</w:t>
        </w:r>
      </w:hyperlink>
      <w:hyperlink r:id="rId15" w:history="1">
        <w:r>
          <w:rPr>
            <w:rStyle w:val="Hyperlink"/>
          </w:rPr>
          <w:t>.</w:t>
        </w:r>
      </w:hyperlink>
    </w:p>
    <w:p w14:paraId="626BC8C7" w14:textId="77777777" w:rsidR="00E77028" w:rsidRPr="00B657FA" w:rsidRDefault="00E77028" w:rsidP="00E77028">
      <w:pPr>
        <w:rPr>
          <w:sz w:val="22"/>
          <w:szCs w:val="22"/>
        </w:rPr>
      </w:pPr>
      <w:r w:rsidRPr="00B657FA">
        <w:rPr>
          <w:sz w:val="22"/>
          <w:szCs w:val="22"/>
        </w:rPr>
        <w:lastRenderedPageBreak/>
        <w:t>The evidence that the Court presents in its decision suggests that Alex’s more challenging behaviours emerged relatively quickly, and in the school context. Apparently, it emerged at school after Alex was made “a member of a small group which [the upper primary teacher]</w:t>
      </w:r>
      <w:r>
        <w:rPr>
          <w:sz w:val="22"/>
          <w:szCs w:val="22"/>
        </w:rPr>
        <w:t xml:space="preserve"> called ‘the Treasures’</w:t>
      </w:r>
      <w:r w:rsidRPr="00B657FA">
        <w:rPr>
          <w:sz w:val="22"/>
          <w:szCs w:val="22"/>
        </w:rPr>
        <w:t>” (see para</w:t>
      </w:r>
      <w:r>
        <w:rPr>
          <w:sz w:val="22"/>
          <w:szCs w:val="22"/>
        </w:rPr>
        <w:t>graph 73</w:t>
      </w:r>
      <w:r w:rsidRPr="00B657FA">
        <w:rPr>
          <w:sz w:val="22"/>
          <w:szCs w:val="22"/>
        </w:rPr>
        <w:t>). The school’s “behaviour management</w:t>
      </w:r>
      <w:r>
        <w:rPr>
          <w:sz w:val="22"/>
          <w:szCs w:val="22"/>
        </w:rPr>
        <w:t>” practices</w:t>
      </w:r>
      <w:r w:rsidRPr="00B657FA">
        <w:rPr>
          <w:sz w:val="22"/>
          <w:szCs w:val="22"/>
        </w:rPr>
        <w:t xml:space="preserve"> then escalated his </w:t>
      </w:r>
      <w:r>
        <w:rPr>
          <w:sz w:val="22"/>
          <w:szCs w:val="22"/>
        </w:rPr>
        <w:t>maladaptive</w:t>
      </w:r>
      <w:r w:rsidRPr="00B657FA">
        <w:rPr>
          <w:sz w:val="22"/>
          <w:szCs w:val="22"/>
        </w:rPr>
        <w:t xml:space="preserve"> behaviour. </w:t>
      </w:r>
    </w:p>
    <w:p w14:paraId="5C025DCC" w14:textId="77777777" w:rsidR="00E77028" w:rsidRPr="00B657FA" w:rsidRDefault="00E77028" w:rsidP="00E77028">
      <w:pPr>
        <w:rPr>
          <w:sz w:val="22"/>
          <w:szCs w:val="22"/>
        </w:rPr>
      </w:pPr>
      <w:r w:rsidRPr="00B657FA">
        <w:rPr>
          <w:sz w:val="22"/>
          <w:szCs w:val="22"/>
        </w:rPr>
        <w:t>The recent story on the ABC’s 7.30 Report</w:t>
      </w:r>
      <w:r>
        <w:rPr>
          <w:sz w:val="22"/>
          <w:szCs w:val="22"/>
        </w:rPr>
        <w:t xml:space="preserve">, </w:t>
      </w:r>
      <w:r w:rsidRPr="00B657FA">
        <w:rPr>
          <w:i/>
          <w:sz w:val="22"/>
          <w:szCs w:val="22"/>
        </w:rPr>
        <w:t>Hidden Shame</w:t>
      </w:r>
      <w:r w:rsidRPr="00B657FA">
        <w:rPr>
          <w:sz w:val="22"/>
          <w:szCs w:val="22"/>
        </w:rPr>
        <w:t xml:space="preserve"> (see </w:t>
      </w:r>
      <w:hyperlink r:id="rId16" w:history="1">
        <w:r w:rsidRPr="00B657FA">
          <w:rPr>
            <w:rStyle w:val="Hyperlink"/>
            <w:sz w:val="22"/>
            <w:szCs w:val="22"/>
          </w:rPr>
          <w:t>http://www.abc.net.au/7.30/content/2011/s3219518.htm</w:t>
        </w:r>
      </w:hyperlink>
      <w:r w:rsidRPr="00B657FA">
        <w:rPr>
          <w:sz w:val="22"/>
          <w:szCs w:val="22"/>
        </w:rPr>
        <w:t xml:space="preserve"> and </w:t>
      </w:r>
      <w:hyperlink r:id="rId17" w:history="1">
        <w:r w:rsidRPr="00B657FA">
          <w:rPr>
            <w:rStyle w:val="Hyperlink"/>
            <w:sz w:val="22"/>
            <w:szCs w:val="22"/>
          </w:rPr>
          <w:t>http://a4.org.au/a4/node/370</w:t>
        </w:r>
      </w:hyperlink>
      <w:r w:rsidRPr="00B657FA">
        <w:rPr>
          <w:sz w:val="22"/>
          <w:szCs w:val="22"/>
        </w:rPr>
        <w:t>)</w:t>
      </w:r>
      <w:r>
        <w:rPr>
          <w:sz w:val="22"/>
          <w:szCs w:val="22"/>
        </w:rPr>
        <w:t xml:space="preserve">, and the parade of stories about students in cages (see </w:t>
      </w:r>
      <w:hyperlink r:id="rId18" w:history="1">
        <w:r w:rsidRPr="00747FD3">
          <w:rPr>
            <w:rStyle w:val="Hyperlink"/>
            <w:sz w:val="22"/>
            <w:szCs w:val="22"/>
          </w:rPr>
          <w:t>http://a4.org.au/a4/node/279</w:t>
        </w:r>
      </w:hyperlink>
      <w:r>
        <w:rPr>
          <w:sz w:val="22"/>
          <w:szCs w:val="22"/>
        </w:rPr>
        <w:t>),</w:t>
      </w:r>
      <w:r w:rsidRPr="00B657FA">
        <w:rPr>
          <w:sz w:val="22"/>
          <w:szCs w:val="22"/>
        </w:rPr>
        <w:t xml:space="preserve"> shows inappropriate behaviour management is a chronic problem in schools. Many schools routinely exclude students with ASD </w:t>
      </w:r>
      <w:proofErr w:type="gramStart"/>
      <w:r w:rsidRPr="00B657FA">
        <w:rPr>
          <w:sz w:val="22"/>
          <w:szCs w:val="22"/>
        </w:rPr>
        <w:t>… which</w:t>
      </w:r>
      <w:proofErr w:type="gramEnd"/>
      <w:r w:rsidRPr="00B657FA">
        <w:rPr>
          <w:sz w:val="22"/>
          <w:szCs w:val="22"/>
        </w:rPr>
        <w:t xml:space="preserve"> is just a part of how Education Departments in Australia </w:t>
      </w:r>
      <w:r>
        <w:rPr>
          <w:sz w:val="22"/>
          <w:szCs w:val="22"/>
        </w:rPr>
        <w:t xml:space="preserve">mismanage students with ASD and </w:t>
      </w:r>
      <w:r w:rsidRPr="00B657FA">
        <w:rPr>
          <w:sz w:val="22"/>
          <w:szCs w:val="22"/>
        </w:rPr>
        <w:t xml:space="preserve">deny many </w:t>
      </w:r>
      <w:r>
        <w:rPr>
          <w:sz w:val="22"/>
          <w:szCs w:val="22"/>
        </w:rPr>
        <w:t>of them</w:t>
      </w:r>
      <w:r w:rsidRPr="00B657FA">
        <w:rPr>
          <w:sz w:val="22"/>
          <w:szCs w:val="22"/>
        </w:rPr>
        <w:t xml:space="preserve"> an effective education. </w:t>
      </w:r>
    </w:p>
    <w:p w14:paraId="61D53D57" w14:textId="77777777" w:rsidR="00E77028" w:rsidRPr="00B657FA" w:rsidRDefault="00E77028" w:rsidP="00E77028">
      <w:pPr>
        <w:rPr>
          <w:sz w:val="22"/>
          <w:szCs w:val="22"/>
        </w:rPr>
      </w:pPr>
      <w:r>
        <w:rPr>
          <w:sz w:val="22"/>
          <w:szCs w:val="22"/>
        </w:rPr>
        <w:t>Australia’s</w:t>
      </w:r>
      <w:r w:rsidRPr="00B657FA">
        <w:rPr>
          <w:sz w:val="22"/>
          <w:szCs w:val="22"/>
        </w:rPr>
        <w:t xml:space="preserve"> </w:t>
      </w:r>
      <w:r>
        <w:rPr>
          <w:sz w:val="22"/>
          <w:szCs w:val="22"/>
        </w:rPr>
        <w:t>disability discrimination law</w:t>
      </w:r>
      <w:r w:rsidRPr="00B657FA">
        <w:rPr>
          <w:sz w:val="22"/>
          <w:szCs w:val="22"/>
        </w:rPr>
        <w:t xml:space="preserve"> </w:t>
      </w:r>
      <w:r>
        <w:rPr>
          <w:sz w:val="22"/>
          <w:szCs w:val="22"/>
        </w:rPr>
        <w:t>promotes rather than prevent disability discrimination. The consequent injustice denigrates t</w:t>
      </w:r>
      <w:r w:rsidRPr="00B657FA">
        <w:rPr>
          <w:sz w:val="22"/>
          <w:szCs w:val="22"/>
        </w:rPr>
        <w:t xml:space="preserve">he </w:t>
      </w:r>
      <w:r>
        <w:rPr>
          <w:sz w:val="22"/>
          <w:szCs w:val="22"/>
        </w:rPr>
        <w:t>Government and embarrasses Australians</w:t>
      </w:r>
      <w:r w:rsidRPr="00B657FA">
        <w:rPr>
          <w:sz w:val="22"/>
          <w:szCs w:val="22"/>
        </w:rPr>
        <w:t xml:space="preserve">. </w:t>
      </w:r>
    </w:p>
    <w:p w14:paraId="4C9F1177" w14:textId="77777777" w:rsidR="00E77028" w:rsidRPr="00B657FA" w:rsidRDefault="00E77028" w:rsidP="00E77028">
      <w:pPr>
        <w:rPr>
          <w:sz w:val="22"/>
          <w:szCs w:val="22"/>
        </w:rPr>
      </w:pPr>
      <w:r>
        <w:rPr>
          <w:sz w:val="22"/>
          <w:szCs w:val="22"/>
        </w:rPr>
        <w:t>We</w:t>
      </w:r>
      <w:r w:rsidRPr="00B657FA">
        <w:rPr>
          <w:sz w:val="22"/>
          <w:szCs w:val="22"/>
        </w:rPr>
        <w:t xml:space="preserve"> urge you to take immediate action to redress this gross injustice </w:t>
      </w:r>
      <w:r>
        <w:rPr>
          <w:sz w:val="22"/>
          <w:szCs w:val="22"/>
        </w:rPr>
        <w:t>against Alex Walker and his family, and to prevent any similar injustice against anyone else with an autism spectrum disorder</w:t>
      </w:r>
      <w:r w:rsidRPr="00B657FA">
        <w:rPr>
          <w:sz w:val="22"/>
          <w:szCs w:val="22"/>
        </w:rPr>
        <w:t>.</w:t>
      </w:r>
    </w:p>
    <w:p w14:paraId="0D6DDA6D" w14:textId="77777777" w:rsidR="00E77028" w:rsidRDefault="00E77028" w:rsidP="00E77028">
      <w:pPr>
        <w:rPr>
          <w:sz w:val="22"/>
          <w:szCs w:val="22"/>
        </w:rPr>
      </w:pPr>
      <w:r>
        <w:rPr>
          <w:sz w:val="22"/>
          <w:szCs w:val="22"/>
        </w:rPr>
        <w:t>Yours sincerely</w:t>
      </w:r>
    </w:p>
    <w:p w14:paraId="4A61330E" w14:textId="77777777" w:rsidR="00E77028" w:rsidRDefault="00E77028" w:rsidP="00E77028">
      <w:pPr>
        <w:rPr>
          <w:sz w:val="22"/>
          <w:szCs w:val="22"/>
        </w:rPr>
      </w:pPr>
      <w:r>
        <w:rPr>
          <w:sz w:val="22"/>
          <w:szCs w:val="22"/>
        </w:rPr>
        <w:t>Bob Buckley</w:t>
      </w:r>
      <w:r>
        <w:rPr>
          <w:sz w:val="22"/>
          <w:szCs w:val="22"/>
        </w:rPr>
        <w:br/>
        <w:t>Convenor</w:t>
      </w:r>
    </w:p>
    <w:p w14:paraId="0DF0876A" w14:textId="77777777" w:rsidR="004E1F40" w:rsidRDefault="00E77028">
      <w:pPr>
        <w:pStyle w:val="FootnoteText"/>
        <w:rPr>
          <w:rFonts w:ascii="Lucida Bright" w:hAnsi="Lucida Bright"/>
          <w:i/>
          <w:iCs/>
          <w:sz w:val="22"/>
        </w:rPr>
      </w:pPr>
      <w:r>
        <w:rPr>
          <w:rFonts w:ascii="Lucida Bright" w:hAnsi="Lucida Bright"/>
          <w:i/>
          <w:iCs/>
          <w:sz w:val="22"/>
        </w:rPr>
        <w:t>18/6/2011</w:t>
      </w:r>
    </w:p>
    <w:sectPr w:rsidR="004E1F40">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40" w:right="1797" w:bottom="1440" w:left="1797"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3EC93" w14:textId="77777777" w:rsidR="007B164C" w:rsidRDefault="007B164C">
      <w:pPr>
        <w:spacing w:before="0"/>
      </w:pPr>
      <w:r>
        <w:separator/>
      </w:r>
    </w:p>
  </w:endnote>
  <w:endnote w:type="continuationSeparator" w:id="0">
    <w:p w14:paraId="66CFE701" w14:textId="77777777" w:rsidR="007B164C" w:rsidRDefault="007B164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roman"/>
    <w:notTrueType/>
    <w:pitch w:val="variable"/>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Lucida Bright">
    <w:panose1 w:val="0204060205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12A75" w14:textId="77777777" w:rsidR="004E1F40" w:rsidRDefault="004E1F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894D0" w14:textId="77777777" w:rsidR="004E1F40" w:rsidRDefault="00714C7A">
    <w:pPr>
      <w:pStyle w:val="Footer"/>
    </w:pPr>
    <w:r>
      <w:rPr>
        <w:noProof/>
        <w:sz w:val="20"/>
        <w:lang w:val="en-US"/>
      </w:rPr>
      <w:drawing>
        <wp:anchor distT="0" distB="0" distL="114300" distR="114300" simplePos="0" relativeHeight="251657728" behindDoc="0" locked="0" layoutInCell="1" allowOverlap="1" wp14:anchorId="5272A00F" wp14:editId="12734C79">
          <wp:simplePos x="0" y="0"/>
          <wp:positionH relativeFrom="column">
            <wp:posOffset>1996440</wp:posOffset>
          </wp:positionH>
          <wp:positionV relativeFrom="paragraph">
            <wp:posOffset>-8890</wp:posOffset>
          </wp:positionV>
          <wp:extent cx="1438275" cy="371475"/>
          <wp:effectExtent l="0" t="0" r="9525" b="9525"/>
          <wp:wrapNone/>
          <wp:docPr id="10" name="Picture 10" descr="A4logoB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4logoBB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714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E1F40">
        <w:rPr>
          <w:rStyle w:val="Hyperlink"/>
          <w:color w:val="auto"/>
          <w:sz w:val="20"/>
          <w:u w:val="none"/>
        </w:rPr>
        <w:t>www.a4.org.au</w:t>
      </w:r>
    </w:hyperlink>
    <w:r w:rsidR="004E1F40">
      <w:tab/>
    </w:r>
    <w:r w:rsidR="004E1F40">
      <w:tab/>
      <w:t xml:space="preserve">Page </w:t>
    </w:r>
    <w:r w:rsidR="004E1F40">
      <w:fldChar w:fldCharType="begin"/>
    </w:r>
    <w:r w:rsidR="004E1F40">
      <w:instrText xml:space="preserve"> PAGE </w:instrText>
    </w:r>
    <w:r w:rsidR="004E1F40">
      <w:fldChar w:fldCharType="separate"/>
    </w:r>
    <w:r w:rsidR="00773CED">
      <w:rPr>
        <w:noProof/>
      </w:rPr>
      <w:t>3</w:t>
    </w:r>
    <w:r w:rsidR="004E1F40">
      <w:fldChar w:fldCharType="end"/>
    </w:r>
    <w:r w:rsidR="004E1F40">
      <w:t xml:space="preserve"> of </w:t>
    </w:r>
    <w:r w:rsidR="00773CED">
      <w:fldChar w:fldCharType="begin"/>
    </w:r>
    <w:r w:rsidR="00773CED">
      <w:instrText xml:space="preserve"> NUMPAGES </w:instrText>
    </w:r>
    <w:r w:rsidR="00773CED">
      <w:fldChar w:fldCharType="separate"/>
    </w:r>
    <w:r w:rsidR="00773CED">
      <w:rPr>
        <w:noProof/>
      </w:rPr>
      <w:t>3</w:t>
    </w:r>
    <w:r w:rsidR="00773CED">
      <w:rPr>
        <w:noProof/>
      </w:rPr>
      <w:fldChar w:fldCharType="end"/>
    </w:r>
    <w:r w:rsidR="004E1F40">
      <w:br/>
    </w:r>
    <w:r w:rsidR="004E1F40">
      <w:rPr>
        <w:sz w:val="20"/>
      </w:rPr>
      <w:t>cnvnr@a4.org.au</w:t>
    </w:r>
    <w:r w:rsidR="004E1F40">
      <w:rPr>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10E5B" w14:textId="77777777" w:rsidR="004E1F40" w:rsidRDefault="004E1F40">
    <w:pPr>
      <w:pStyle w:val="Footer"/>
    </w:pPr>
    <w:r>
      <w:rPr>
        <w:sz w:val="20"/>
      </w:rPr>
      <w:t>www.a4.org.au</w:t>
    </w:r>
    <w:r>
      <w:tab/>
    </w:r>
    <w:r>
      <w:tab/>
      <w:t xml:space="preserve">Page </w:t>
    </w:r>
    <w:r>
      <w:fldChar w:fldCharType="begin"/>
    </w:r>
    <w:r>
      <w:instrText xml:space="preserve"> PAGE </w:instrText>
    </w:r>
    <w:r>
      <w:fldChar w:fldCharType="separate"/>
    </w:r>
    <w:r w:rsidR="00773CED">
      <w:rPr>
        <w:noProof/>
      </w:rPr>
      <w:t>1</w:t>
    </w:r>
    <w:r>
      <w:fldChar w:fldCharType="end"/>
    </w:r>
    <w:r>
      <w:t xml:space="preserve"> of </w:t>
    </w:r>
    <w:r w:rsidR="00773CED">
      <w:fldChar w:fldCharType="begin"/>
    </w:r>
    <w:r w:rsidR="00773CED">
      <w:instrText xml:space="preserve"> NUMPAGES </w:instrText>
    </w:r>
    <w:r w:rsidR="00773CED">
      <w:fldChar w:fldCharType="separate"/>
    </w:r>
    <w:r w:rsidR="00773CED">
      <w:rPr>
        <w:noProof/>
      </w:rPr>
      <w:t>3</w:t>
    </w:r>
    <w:r w:rsidR="00773CED">
      <w:rPr>
        <w:noProof/>
      </w:rPr>
      <w:fldChar w:fldCharType="end"/>
    </w:r>
    <w:r>
      <w:br/>
    </w:r>
    <w:r>
      <w:rPr>
        <w:sz w:val="20"/>
      </w:rPr>
      <w:t>cnvnr@a4.org.au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7B37D" w14:textId="77777777" w:rsidR="007B164C" w:rsidRDefault="007B164C">
      <w:pPr>
        <w:spacing w:before="0"/>
      </w:pPr>
      <w:r>
        <w:separator/>
      </w:r>
    </w:p>
  </w:footnote>
  <w:footnote w:type="continuationSeparator" w:id="0">
    <w:p w14:paraId="672029BA" w14:textId="77777777" w:rsidR="007B164C" w:rsidRDefault="007B164C">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95AF8" w14:textId="77777777" w:rsidR="004E1F40" w:rsidRDefault="004E1F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E66C9" w14:textId="77777777" w:rsidR="004E1F40" w:rsidRDefault="004E1F4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BE8CF" w14:textId="77777777" w:rsidR="004E1F40" w:rsidRDefault="00714C7A">
    <w:pPr>
      <w:pStyle w:val="Header"/>
    </w:pPr>
    <w:r>
      <w:rPr>
        <w:noProof/>
        <w:lang w:val="en-US"/>
      </w:rPr>
      <w:drawing>
        <wp:inline distT="0" distB="0" distL="0" distR="0" wp14:anchorId="6C497C72" wp14:editId="5A380DFC">
          <wp:extent cx="5276850" cy="1323975"/>
          <wp:effectExtent l="0" t="0" r="0" b="0"/>
          <wp:docPr id="1" name="Picture 1" descr="A4logoB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BB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98011C"/>
    <w:multiLevelType w:val="hybridMultilevel"/>
    <w:tmpl w:val="72361E26"/>
    <w:lvl w:ilvl="0" w:tplc="F8F8D592">
      <w:start w:val="1"/>
      <w:numFmt w:val="decimal"/>
      <w:lvlText w:val="%1."/>
      <w:lvlJc w:val="left"/>
      <w:pPr>
        <w:tabs>
          <w:tab w:val="num" w:pos="720"/>
        </w:tabs>
        <w:ind w:left="720" w:hanging="360"/>
      </w:pPr>
    </w:lvl>
    <w:lvl w:ilvl="1" w:tplc="FAA2C848" w:tentative="1">
      <w:start w:val="1"/>
      <w:numFmt w:val="decimal"/>
      <w:lvlText w:val="%2."/>
      <w:lvlJc w:val="left"/>
      <w:pPr>
        <w:tabs>
          <w:tab w:val="num" w:pos="1440"/>
        </w:tabs>
        <w:ind w:left="1440" w:hanging="360"/>
      </w:pPr>
    </w:lvl>
    <w:lvl w:ilvl="2" w:tplc="FB6A9706" w:tentative="1">
      <w:start w:val="1"/>
      <w:numFmt w:val="decimal"/>
      <w:lvlText w:val="%3."/>
      <w:lvlJc w:val="left"/>
      <w:pPr>
        <w:tabs>
          <w:tab w:val="num" w:pos="2160"/>
        </w:tabs>
        <w:ind w:left="2160" w:hanging="360"/>
      </w:pPr>
    </w:lvl>
    <w:lvl w:ilvl="3" w:tplc="372027AC" w:tentative="1">
      <w:start w:val="1"/>
      <w:numFmt w:val="decimal"/>
      <w:lvlText w:val="%4."/>
      <w:lvlJc w:val="left"/>
      <w:pPr>
        <w:tabs>
          <w:tab w:val="num" w:pos="2880"/>
        </w:tabs>
        <w:ind w:left="2880" w:hanging="360"/>
      </w:pPr>
    </w:lvl>
    <w:lvl w:ilvl="4" w:tplc="65F4C76A" w:tentative="1">
      <w:start w:val="1"/>
      <w:numFmt w:val="decimal"/>
      <w:lvlText w:val="%5."/>
      <w:lvlJc w:val="left"/>
      <w:pPr>
        <w:tabs>
          <w:tab w:val="num" w:pos="3600"/>
        </w:tabs>
        <w:ind w:left="3600" w:hanging="360"/>
      </w:pPr>
    </w:lvl>
    <w:lvl w:ilvl="5" w:tplc="AC7A78E0" w:tentative="1">
      <w:start w:val="1"/>
      <w:numFmt w:val="decimal"/>
      <w:lvlText w:val="%6."/>
      <w:lvlJc w:val="left"/>
      <w:pPr>
        <w:tabs>
          <w:tab w:val="num" w:pos="4320"/>
        </w:tabs>
        <w:ind w:left="4320" w:hanging="360"/>
      </w:pPr>
    </w:lvl>
    <w:lvl w:ilvl="6" w:tplc="A546012A" w:tentative="1">
      <w:start w:val="1"/>
      <w:numFmt w:val="decimal"/>
      <w:lvlText w:val="%7."/>
      <w:lvlJc w:val="left"/>
      <w:pPr>
        <w:tabs>
          <w:tab w:val="num" w:pos="5040"/>
        </w:tabs>
        <w:ind w:left="5040" w:hanging="360"/>
      </w:pPr>
    </w:lvl>
    <w:lvl w:ilvl="7" w:tplc="16E465CE" w:tentative="1">
      <w:start w:val="1"/>
      <w:numFmt w:val="decimal"/>
      <w:lvlText w:val="%8."/>
      <w:lvlJc w:val="left"/>
      <w:pPr>
        <w:tabs>
          <w:tab w:val="num" w:pos="5760"/>
        </w:tabs>
        <w:ind w:left="5760" w:hanging="360"/>
      </w:pPr>
    </w:lvl>
    <w:lvl w:ilvl="8" w:tplc="1EA035D2" w:tentative="1">
      <w:start w:val="1"/>
      <w:numFmt w:val="decimal"/>
      <w:lvlText w:val="%9."/>
      <w:lvlJc w:val="left"/>
      <w:pPr>
        <w:tabs>
          <w:tab w:val="num" w:pos="6480"/>
        </w:tabs>
        <w:ind w:left="6480" w:hanging="360"/>
      </w:pPr>
    </w:lvl>
  </w:abstractNum>
  <w:abstractNum w:abstractNumId="2">
    <w:nsid w:val="03592924"/>
    <w:multiLevelType w:val="hybridMultilevel"/>
    <w:tmpl w:val="F9A84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AD1F60"/>
    <w:multiLevelType w:val="hybridMultilevel"/>
    <w:tmpl w:val="A2D69566"/>
    <w:lvl w:ilvl="0" w:tplc="F5649CD0">
      <w:start w:val="1"/>
      <w:numFmt w:val="bullet"/>
      <w:lvlText w:val=""/>
      <w:lvlJc w:val="left"/>
      <w:pPr>
        <w:tabs>
          <w:tab w:val="num" w:pos="720"/>
        </w:tabs>
        <w:ind w:left="720" w:hanging="360"/>
      </w:pPr>
      <w:rPr>
        <w:rFonts w:ascii="Symbol" w:hAnsi="Symbol" w:hint="default"/>
        <w:sz w:val="20"/>
      </w:rPr>
    </w:lvl>
    <w:lvl w:ilvl="1" w:tplc="3E3E6248" w:tentative="1">
      <w:start w:val="1"/>
      <w:numFmt w:val="bullet"/>
      <w:lvlText w:val="o"/>
      <w:lvlJc w:val="left"/>
      <w:pPr>
        <w:tabs>
          <w:tab w:val="num" w:pos="1440"/>
        </w:tabs>
        <w:ind w:left="1440" w:hanging="360"/>
      </w:pPr>
      <w:rPr>
        <w:rFonts w:ascii="Courier New" w:hAnsi="Courier New" w:hint="default"/>
        <w:sz w:val="20"/>
      </w:rPr>
    </w:lvl>
    <w:lvl w:ilvl="2" w:tplc="D88E3F48" w:tentative="1">
      <w:start w:val="1"/>
      <w:numFmt w:val="bullet"/>
      <w:lvlText w:val=""/>
      <w:lvlJc w:val="left"/>
      <w:pPr>
        <w:tabs>
          <w:tab w:val="num" w:pos="2160"/>
        </w:tabs>
        <w:ind w:left="2160" w:hanging="360"/>
      </w:pPr>
      <w:rPr>
        <w:rFonts w:ascii="Wingdings" w:hAnsi="Wingdings" w:hint="default"/>
        <w:sz w:val="20"/>
      </w:rPr>
    </w:lvl>
    <w:lvl w:ilvl="3" w:tplc="393AD02E" w:tentative="1">
      <w:start w:val="1"/>
      <w:numFmt w:val="bullet"/>
      <w:lvlText w:val=""/>
      <w:lvlJc w:val="left"/>
      <w:pPr>
        <w:tabs>
          <w:tab w:val="num" w:pos="2880"/>
        </w:tabs>
        <w:ind w:left="2880" w:hanging="360"/>
      </w:pPr>
      <w:rPr>
        <w:rFonts w:ascii="Wingdings" w:hAnsi="Wingdings" w:hint="default"/>
        <w:sz w:val="20"/>
      </w:rPr>
    </w:lvl>
    <w:lvl w:ilvl="4" w:tplc="24D2EBFE" w:tentative="1">
      <w:start w:val="1"/>
      <w:numFmt w:val="bullet"/>
      <w:lvlText w:val=""/>
      <w:lvlJc w:val="left"/>
      <w:pPr>
        <w:tabs>
          <w:tab w:val="num" w:pos="3600"/>
        </w:tabs>
        <w:ind w:left="3600" w:hanging="360"/>
      </w:pPr>
      <w:rPr>
        <w:rFonts w:ascii="Wingdings" w:hAnsi="Wingdings" w:hint="default"/>
        <w:sz w:val="20"/>
      </w:rPr>
    </w:lvl>
    <w:lvl w:ilvl="5" w:tplc="1CE84310" w:tentative="1">
      <w:start w:val="1"/>
      <w:numFmt w:val="bullet"/>
      <w:lvlText w:val=""/>
      <w:lvlJc w:val="left"/>
      <w:pPr>
        <w:tabs>
          <w:tab w:val="num" w:pos="4320"/>
        </w:tabs>
        <w:ind w:left="4320" w:hanging="360"/>
      </w:pPr>
      <w:rPr>
        <w:rFonts w:ascii="Wingdings" w:hAnsi="Wingdings" w:hint="default"/>
        <w:sz w:val="20"/>
      </w:rPr>
    </w:lvl>
    <w:lvl w:ilvl="6" w:tplc="2BA8120E" w:tentative="1">
      <w:start w:val="1"/>
      <w:numFmt w:val="bullet"/>
      <w:lvlText w:val=""/>
      <w:lvlJc w:val="left"/>
      <w:pPr>
        <w:tabs>
          <w:tab w:val="num" w:pos="5040"/>
        </w:tabs>
        <w:ind w:left="5040" w:hanging="360"/>
      </w:pPr>
      <w:rPr>
        <w:rFonts w:ascii="Wingdings" w:hAnsi="Wingdings" w:hint="default"/>
        <w:sz w:val="20"/>
      </w:rPr>
    </w:lvl>
    <w:lvl w:ilvl="7" w:tplc="2408D172" w:tentative="1">
      <w:start w:val="1"/>
      <w:numFmt w:val="bullet"/>
      <w:lvlText w:val=""/>
      <w:lvlJc w:val="left"/>
      <w:pPr>
        <w:tabs>
          <w:tab w:val="num" w:pos="5760"/>
        </w:tabs>
        <w:ind w:left="5760" w:hanging="360"/>
      </w:pPr>
      <w:rPr>
        <w:rFonts w:ascii="Wingdings" w:hAnsi="Wingdings" w:hint="default"/>
        <w:sz w:val="20"/>
      </w:rPr>
    </w:lvl>
    <w:lvl w:ilvl="8" w:tplc="895030C6"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B20FE"/>
    <w:multiLevelType w:val="hybridMultilevel"/>
    <w:tmpl w:val="D6609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77177"/>
    <w:multiLevelType w:val="hybridMultilevel"/>
    <w:tmpl w:val="68086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EE50B6"/>
    <w:multiLevelType w:val="hybridMultilevel"/>
    <w:tmpl w:val="3FE46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7A0656"/>
    <w:multiLevelType w:val="hybridMultilevel"/>
    <w:tmpl w:val="633C5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C83DBC"/>
    <w:multiLevelType w:val="hybridMultilevel"/>
    <w:tmpl w:val="4B74E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AE3DD1"/>
    <w:multiLevelType w:val="singleLevel"/>
    <w:tmpl w:val="1D0CA996"/>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0">
    <w:nsid w:val="3449172A"/>
    <w:multiLevelType w:val="hybridMultilevel"/>
    <w:tmpl w:val="CAEEAFB0"/>
    <w:lvl w:ilvl="0" w:tplc="A36CEB84">
      <w:start w:val="1"/>
      <w:numFmt w:val="decimal"/>
      <w:lvlText w:val="%1."/>
      <w:lvlJc w:val="left"/>
      <w:pPr>
        <w:tabs>
          <w:tab w:val="num" w:pos="720"/>
        </w:tabs>
        <w:ind w:left="720" w:hanging="360"/>
      </w:pPr>
    </w:lvl>
    <w:lvl w:ilvl="1" w:tplc="B296C240" w:tentative="1">
      <w:start w:val="1"/>
      <w:numFmt w:val="decimal"/>
      <w:lvlText w:val="%2."/>
      <w:lvlJc w:val="left"/>
      <w:pPr>
        <w:tabs>
          <w:tab w:val="num" w:pos="1440"/>
        </w:tabs>
        <w:ind w:left="1440" w:hanging="360"/>
      </w:pPr>
    </w:lvl>
    <w:lvl w:ilvl="2" w:tplc="8760EA4C" w:tentative="1">
      <w:start w:val="1"/>
      <w:numFmt w:val="decimal"/>
      <w:lvlText w:val="%3."/>
      <w:lvlJc w:val="left"/>
      <w:pPr>
        <w:tabs>
          <w:tab w:val="num" w:pos="2160"/>
        </w:tabs>
        <w:ind w:left="2160" w:hanging="360"/>
      </w:pPr>
    </w:lvl>
    <w:lvl w:ilvl="3" w:tplc="052496EE" w:tentative="1">
      <w:start w:val="1"/>
      <w:numFmt w:val="decimal"/>
      <w:lvlText w:val="%4."/>
      <w:lvlJc w:val="left"/>
      <w:pPr>
        <w:tabs>
          <w:tab w:val="num" w:pos="2880"/>
        </w:tabs>
        <w:ind w:left="2880" w:hanging="360"/>
      </w:pPr>
    </w:lvl>
    <w:lvl w:ilvl="4" w:tplc="A8F8A500" w:tentative="1">
      <w:start w:val="1"/>
      <w:numFmt w:val="decimal"/>
      <w:lvlText w:val="%5."/>
      <w:lvlJc w:val="left"/>
      <w:pPr>
        <w:tabs>
          <w:tab w:val="num" w:pos="3600"/>
        </w:tabs>
        <w:ind w:left="3600" w:hanging="360"/>
      </w:pPr>
    </w:lvl>
    <w:lvl w:ilvl="5" w:tplc="79FC4AD8" w:tentative="1">
      <w:start w:val="1"/>
      <w:numFmt w:val="decimal"/>
      <w:lvlText w:val="%6."/>
      <w:lvlJc w:val="left"/>
      <w:pPr>
        <w:tabs>
          <w:tab w:val="num" w:pos="4320"/>
        </w:tabs>
        <w:ind w:left="4320" w:hanging="360"/>
      </w:pPr>
    </w:lvl>
    <w:lvl w:ilvl="6" w:tplc="9970DF2C" w:tentative="1">
      <w:start w:val="1"/>
      <w:numFmt w:val="decimal"/>
      <w:lvlText w:val="%7."/>
      <w:lvlJc w:val="left"/>
      <w:pPr>
        <w:tabs>
          <w:tab w:val="num" w:pos="5040"/>
        </w:tabs>
        <w:ind w:left="5040" w:hanging="360"/>
      </w:pPr>
    </w:lvl>
    <w:lvl w:ilvl="7" w:tplc="47FC1F82" w:tentative="1">
      <w:start w:val="1"/>
      <w:numFmt w:val="decimal"/>
      <w:lvlText w:val="%8."/>
      <w:lvlJc w:val="left"/>
      <w:pPr>
        <w:tabs>
          <w:tab w:val="num" w:pos="5760"/>
        </w:tabs>
        <w:ind w:left="5760" w:hanging="360"/>
      </w:pPr>
    </w:lvl>
    <w:lvl w:ilvl="8" w:tplc="FF90BCC6" w:tentative="1">
      <w:start w:val="1"/>
      <w:numFmt w:val="decimal"/>
      <w:lvlText w:val="%9."/>
      <w:lvlJc w:val="left"/>
      <w:pPr>
        <w:tabs>
          <w:tab w:val="num" w:pos="6480"/>
        </w:tabs>
        <w:ind w:left="6480" w:hanging="360"/>
      </w:pPr>
    </w:lvl>
  </w:abstractNum>
  <w:abstractNum w:abstractNumId="11">
    <w:nsid w:val="350D02C5"/>
    <w:multiLevelType w:val="hybridMultilevel"/>
    <w:tmpl w:val="F8A6A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AD47CA"/>
    <w:multiLevelType w:val="hybridMultilevel"/>
    <w:tmpl w:val="7D58FB64"/>
    <w:lvl w:ilvl="0" w:tplc="EFC4EAA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2F22AA"/>
    <w:multiLevelType w:val="hybridMultilevel"/>
    <w:tmpl w:val="22660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0B1537"/>
    <w:multiLevelType w:val="multilevel"/>
    <w:tmpl w:val="451C9526"/>
    <w:lvl w:ilvl="0">
      <w:start w:val="1"/>
      <w:numFmt w:val="bullet"/>
      <w:lvlText w:val=""/>
      <w:lvlJc w:val="left"/>
      <w:pPr>
        <w:tabs>
          <w:tab w:val="num" w:pos="1080"/>
        </w:tabs>
        <w:ind w:left="720" w:firstLine="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53E13922"/>
    <w:multiLevelType w:val="hybridMultilevel"/>
    <w:tmpl w:val="3D6E3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3175DA"/>
    <w:multiLevelType w:val="hybridMultilevel"/>
    <w:tmpl w:val="F7728D38"/>
    <w:lvl w:ilvl="0" w:tplc="57E2151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0070C35"/>
    <w:multiLevelType w:val="multilevel"/>
    <w:tmpl w:val="6D7ED61A"/>
    <w:lvl w:ilvl="0">
      <w:start w:val="1"/>
      <w:numFmt w:val="bullet"/>
      <w:pStyle w:val="specialbullet"/>
      <w:lvlText w:val=""/>
      <w:lvlJc w:val="left"/>
      <w:pPr>
        <w:tabs>
          <w:tab w:val="num" w:pos="360"/>
        </w:tabs>
        <w:ind w:left="360" w:hanging="360"/>
      </w:pPr>
      <w:rPr>
        <w:rFonts w:ascii="Symbol" w:hAnsi="Symbol" w:hint="default"/>
        <w:color w:val="auto"/>
      </w:rPr>
    </w:lvl>
    <w:lvl w:ilvl="1">
      <w:start w:val="1"/>
      <w:numFmt w:val="bullet"/>
      <w:lvlRestart w:val="0"/>
      <w:pStyle w:val="specialsubbullet"/>
      <w:lvlText w:val=""/>
      <w:lvlJc w:val="left"/>
      <w:pPr>
        <w:tabs>
          <w:tab w:val="num" w:pos="720"/>
        </w:tabs>
        <w:ind w:left="720" w:hanging="360"/>
      </w:pPr>
      <w:rPr>
        <w:rFonts w:ascii="Symbol" w:hAnsi="Symbol"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
    <w:nsid w:val="741A6AD6"/>
    <w:multiLevelType w:val="hybridMultilevel"/>
    <w:tmpl w:val="C2026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1F5D8B"/>
    <w:multiLevelType w:val="hybridMultilevel"/>
    <w:tmpl w:val="C9623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707DA8"/>
    <w:multiLevelType w:val="hybridMultilevel"/>
    <w:tmpl w:val="EEAE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4"/>
  </w:num>
  <w:num w:numId="3">
    <w:abstractNumId w:val="5"/>
  </w:num>
  <w:num w:numId="4">
    <w:abstractNumId w:val="13"/>
  </w:num>
  <w:num w:numId="5">
    <w:abstractNumId w:val="18"/>
  </w:num>
  <w:num w:numId="6">
    <w:abstractNumId w:val="15"/>
  </w:num>
  <w:num w:numId="7">
    <w:abstractNumId w:val="8"/>
  </w:num>
  <w:num w:numId="8">
    <w:abstractNumId w:val="11"/>
  </w:num>
  <w:num w:numId="9">
    <w:abstractNumId w:val="7"/>
  </w:num>
  <w:num w:numId="10">
    <w:abstractNumId w:val="10"/>
  </w:num>
  <w:num w:numId="11">
    <w:abstractNumId w:val="2"/>
  </w:num>
  <w:num w:numId="12">
    <w:abstractNumId w:val="17"/>
  </w:num>
  <w:num w:numId="13">
    <w:abstractNumId w:val="3"/>
  </w:num>
  <w:num w:numId="14">
    <w:abstractNumId w:val="19"/>
  </w:num>
  <w:num w:numId="15">
    <w:abstractNumId w:val="20"/>
  </w:num>
  <w:num w:numId="16">
    <w:abstractNumId w:val="4"/>
  </w:num>
  <w:num w:numId="17">
    <w:abstractNumId w:val="12"/>
  </w:num>
  <w:num w:numId="18">
    <w:abstractNumId w:val="16"/>
  </w:num>
  <w:num w:numId="19">
    <w:abstractNumId w:val="1"/>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4A"/>
    <w:rsid w:val="000E552B"/>
    <w:rsid w:val="004A4C9D"/>
    <w:rsid w:val="004A6DBC"/>
    <w:rsid w:val="004E1F40"/>
    <w:rsid w:val="005D14E6"/>
    <w:rsid w:val="00602CCD"/>
    <w:rsid w:val="00714C7A"/>
    <w:rsid w:val="00773CED"/>
    <w:rsid w:val="007B164C"/>
    <w:rsid w:val="0085204D"/>
    <w:rsid w:val="00922556"/>
    <w:rsid w:val="009726A6"/>
    <w:rsid w:val="009878B2"/>
    <w:rsid w:val="009E4598"/>
    <w:rsid w:val="009E49C7"/>
    <w:rsid w:val="00B250EA"/>
    <w:rsid w:val="00B85D85"/>
    <w:rsid w:val="00BA2774"/>
    <w:rsid w:val="00DE594A"/>
    <w:rsid w:val="00DE5E41"/>
    <w:rsid w:val="00E136EE"/>
    <w:rsid w:val="00E770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8D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rFonts w:ascii="Georgia" w:hAnsi="Georgia"/>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style>
  <w:style w:type="paragraph" w:styleId="Heading5">
    <w:name w:val="heading 5"/>
    <w:basedOn w:val="Normal"/>
    <w:next w:val="Normal"/>
    <w:qFormat/>
    <w:pPr>
      <w:keepNext/>
      <w:spacing w:before="0"/>
      <w:ind w:left="-567"/>
      <w:jc w:val="right"/>
      <w:outlineLvl w:val="4"/>
    </w:pPr>
    <w:rPr>
      <w:rFonts w:ascii="Arial" w:hAnsi="Arial"/>
    </w:rPr>
  </w:style>
  <w:style w:type="paragraph" w:styleId="Heading6">
    <w:name w:val="heading 6"/>
    <w:basedOn w:val="Normal"/>
    <w:next w:val="Normal"/>
    <w:qFormat/>
    <w:pPr>
      <w:keepNext/>
      <w:tabs>
        <w:tab w:val="left" w:pos="3420"/>
        <w:tab w:val="right" w:pos="8505"/>
      </w:tabs>
      <w:outlineLvl w:val="5"/>
    </w:pPr>
    <w:rPr>
      <w:rFonts w:ascii="Arial" w:hAnsi="Arial"/>
      <w:b/>
      <w:sz w:val="22"/>
    </w:rPr>
  </w:style>
  <w:style w:type="paragraph" w:styleId="Heading7">
    <w:name w:val="heading 7"/>
    <w:basedOn w:val="Normal"/>
    <w:next w:val="Normal"/>
    <w:qFormat/>
    <w:pPr>
      <w:keepNext/>
      <w:ind w:left="720"/>
      <w:jc w:val="right"/>
      <w:outlineLvl w:val="6"/>
    </w:pPr>
    <w:rPr>
      <w:i/>
      <w:iCs/>
    </w:rPr>
  </w:style>
  <w:style w:type="paragraph" w:styleId="Heading8">
    <w:name w:val="heading 8"/>
    <w:basedOn w:val="Normal"/>
    <w:next w:val="Normal"/>
    <w:qFormat/>
    <w:pPr>
      <w:keepNext/>
      <w:jc w:val="center"/>
      <w:outlineLvl w:val="7"/>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Strong">
    <w:name w:val="Strong"/>
    <w:uiPriority w:val="22"/>
    <w:qFormat/>
    <w:rPr>
      <w:b/>
    </w:rPr>
  </w:style>
  <w:style w:type="paragraph" w:styleId="BodyText">
    <w:name w:val="Body Text"/>
    <w:basedOn w:val="Normal"/>
    <w:semiHidden/>
  </w:style>
  <w:style w:type="paragraph" w:styleId="BodyTextIndent">
    <w:name w:val="Body Text Indent"/>
    <w:basedOn w:val="Normal"/>
    <w:semiHidden/>
    <w:pPr>
      <w:ind w:left="720"/>
    </w:pPr>
  </w:style>
  <w:style w:type="character" w:styleId="FollowedHyperlink">
    <w:name w:val="FollowedHyperlink"/>
    <w:semiHidden/>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rFonts w:ascii="Times New Roman" w:hAnsi="Times New Roman"/>
      <w:sz w:val="18"/>
    </w:rPr>
  </w:style>
  <w:style w:type="paragraph" w:styleId="NormalWeb">
    <w:name w:val="Normal (Web)"/>
    <w:basedOn w:val="Normal"/>
    <w:uiPriority w:val="99"/>
    <w:pPr>
      <w:spacing w:before="100" w:beforeAutospacing="1" w:after="100" w:afterAutospacing="1"/>
    </w:pPr>
    <w:rPr>
      <w:rFonts w:ascii="Times New Roman" w:hAnsi="Times New Roman"/>
      <w:szCs w:val="24"/>
      <w:lang w:val="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Courier New" w:hAnsi="Courier New" w:cs="Courier New"/>
      <w:sz w:val="20"/>
      <w:lang w:val="en-US"/>
    </w:rPr>
  </w:style>
  <w:style w:type="paragraph" w:styleId="BodyText3">
    <w:name w:val="Body Text 3"/>
    <w:basedOn w:val="Normal"/>
    <w:semiHidden/>
    <w:pPr>
      <w:spacing w:before="0"/>
    </w:pPr>
    <w:rPr>
      <w:b/>
      <w:bCs/>
    </w:rPr>
  </w:style>
  <w:style w:type="paragraph" w:styleId="BodyTextIndent2">
    <w:name w:val="Body Text Indent 2"/>
    <w:basedOn w:val="Normal"/>
    <w:semiHidden/>
    <w:pPr>
      <w:ind w:left="720"/>
    </w:pPr>
    <w:rPr>
      <w:rFonts w:ascii="Times New Roman" w:hAnsi="Times New Roman"/>
      <w:sz w:val="20"/>
    </w:rPr>
  </w:style>
  <w:style w:type="paragraph" w:styleId="Title">
    <w:name w:val="Title"/>
    <w:basedOn w:val="Normal"/>
    <w:qFormat/>
    <w:pPr>
      <w:spacing w:before="0"/>
      <w:jc w:val="center"/>
    </w:pPr>
    <w:rPr>
      <w:rFonts w:ascii="Times New Roman" w:hAnsi="Times New Roman"/>
      <w:b/>
      <w:bCs/>
      <w:sz w:val="32"/>
      <w:szCs w:val="24"/>
      <w:lang w:val="en-US"/>
    </w:rPr>
  </w:style>
  <w:style w:type="paragraph" w:customStyle="1" w:styleId="Letterhead">
    <w:name w:val="Letterhead"/>
    <w:pPr>
      <w:tabs>
        <w:tab w:val="right" w:pos="7655"/>
      </w:tabs>
    </w:pPr>
    <w:rPr>
      <w:rFonts w:ascii="Helvetica" w:hAnsi="Helvetica"/>
      <w:lang w:eastAsia="en-US"/>
    </w:rPr>
  </w:style>
  <w:style w:type="paragraph" w:customStyle="1" w:styleId="specialbullet">
    <w:name w:val="specialbullet"/>
    <w:basedOn w:val="Title"/>
    <w:pPr>
      <w:numPr>
        <w:numId w:val="12"/>
      </w:numPr>
      <w:spacing w:after="360" w:line="360" w:lineRule="auto"/>
      <w:jc w:val="left"/>
    </w:pPr>
    <w:rPr>
      <w:rFonts w:ascii="Arial" w:hAnsi="Arial" w:cs="Arial"/>
      <w:b w:val="0"/>
      <w:bCs w:val="0"/>
      <w:sz w:val="28"/>
      <w:szCs w:val="20"/>
      <w:lang w:val="en-AU" w:bidi="he-IL"/>
    </w:rPr>
  </w:style>
  <w:style w:type="paragraph" w:customStyle="1" w:styleId="specialsubbullet">
    <w:name w:val="specialsubbullet"/>
    <w:basedOn w:val="specialbullet"/>
    <w:pPr>
      <w:numPr>
        <w:ilvl w:val="1"/>
      </w:numPr>
      <w:tabs>
        <w:tab w:val="clear" w:pos="720"/>
        <w:tab w:val="num" w:pos="360"/>
      </w:tabs>
      <w:ind w:left="360"/>
    </w:pPr>
  </w:style>
  <w:style w:type="character" w:customStyle="1" w:styleId="bodytext0">
    <w:name w:val="bodytext"/>
    <w:basedOn w:val="DefaultParagraphFont"/>
  </w:style>
  <w:style w:type="character" w:customStyle="1" w:styleId="headline">
    <w:name w:val="headline"/>
    <w:rPr>
      <w:b/>
      <w:sz w:val="24"/>
    </w:rPr>
  </w:style>
  <w:style w:type="character" w:customStyle="1" w:styleId="byline">
    <w:name w:val="byline"/>
    <w:basedOn w:val="DefaultParagraphFont"/>
  </w:style>
  <w:style w:type="character" w:customStyle="1" w:styleId="pubtime">
    <w:name w:val="pubtime"/>
    <w:basedOn w:val="DefaultParagraphFont"/>
  </w:style>
  <w:style w:type="character" w:customStyle="1" w:styleId="caption1">
    <w:name w:val="caption1"/>
    <w:basedOn w:val="DefaultParagraphFont"/>
  </w:style>
  <w:style w:type="paragraph" w:styleId="BodyTextIndent3">
    <w:name w:val="Body Text Indent 3"/>
    <w:basedOn w:val="Normal"/>
    <w:semiHidden/>
    <w:pPr>
      <w:ind w:left="142"/>
    </w:pPr>
    <w:rPr>
      <w:rFonts w:ascii="Arial" w:hAnsi="Arial"/>
      <w:sz w:val="20"/>
    </w:rPr>
  </w:style>
  <w:style w:type="character" w:customStyle="1" w:styleId="moz-txt-citetags">
    <w:name w:val="moz-txt-citetags"/>
    <w:basedOn w:val="DefaultParagraphFont"/>
  </w:style>
  <w:style w:type="character" w:customStyle="1" w:styleId="spelle">
    <w:name w:val="spelle"/>
    <w:basedOn w:val="DefaultParagraphFont"/>
  </w:style>
  <w:style w:type="character" w:customStyle="1" w:styleId="grame">
    <w:name w:val="grame"/>
    <w:basedOn w:val="DefaultParagraphFont"/>
  </w:style>
  <w:style w:type="paragraph" w:styleId="E-mailSignature">
    <w:name w:val="E-mail Signature"/>
    <w:basedOn w:val="Normal"/>
    <w:semiHidden/>
    <w:pPr>
      <w:spacing w:before="100" w:beforeAutospacing="1" w:after="100" w:afterAutospacing="1"/>
    </w:pPr>
    <w:rPr>
      <w:rFonts w:ascii="Arial Unicode MS" w:hAnsi="Arial Unicode MS"/>
      <w:szCs w:val="24"/>
      <w:lang w:val="en-US"/>
    </w:rPr>
  </w:style>
  <w:style w:type="paragraph" w:styleId="BalloonText">
    <w:name w:val="Balloon Text"/>
    <w:basedOn w:val="Normal"/>
    <w:link w:val="BalloonTextChar"/>
    <w:uiPriority w:val="99"/>
    <w:semiHidden/>
    <w:unhideWhenUsed/>
    <w:rsid w:val="009E49C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C7"/>
    <w:rPr>
      <w:rFonts w:ascii="Tahoma" w:hAnsi="Tahoma" w:cs="Tahoma"/>
      <w:sz w:val="16"/>
      <w:szCs w:val="16"/>
      <w:lang w:eastAsia="en-US"/>
    </w:rPr>
  </w:style>
  <w:style w:type="paragraph" w:customStyle="1" w:styleId="ParaNumbering">
    <w:name w:val="ParaNumbering"/>
    <w:basedOn w:val="Normal"/>
    <w:uiPriority w:val="99"/>
    <w:rsid w:val="00E77028"/>
    <w:pPr>
      <w:numPr>
        <w:numId w:val="21"/>
      </w:numPr>
      <w:spacing w:before="180" w:after="180" w:line="360" w:lineRule="auto"/>
      <w:jc w:val="both"/>
    </w:pPr>
    <w:rPr>
      <w:rFonts w:ascii="Times New Roman" w:eastAsia="Batang" w:hAnsi="Times New Roman"/>
    </w:rPr>
  </w:style>
  <w:style w:type="character" w:styleId="Emphasis">
    <w:name w:val="Emphasis"/>
    <w:basedOn w:val="DefaultParagraphFont"/>
    <w:uiPriority w:val="20"/>
    <w:qFormat/>
    <w:rsid w:val="00E7702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rFonts w:ascii="Georgia" w:hAnsi="Georgia"/>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style>
  <w:style w:type="paragraph" w:styleId="Heading5">
    <w:name w:val="heading 5"/>
    <w:basedOn w:val="Normal"/>
    <w:next w:val="Normal"/>
    <w:qFormat/>
    <w:pPr>
      <w:keepNext/>
      <w:spacing w:before="0"/>
      <w:ind w:left="-567"/>
      <w:jc w:val="right"/>
      <w:outlineLvl w:val="4"/>
    </w:pPr>
    <w:rPr>
      <w:rFonts w:ascii="Arial" w:hAnsi="Arial"/>
    </w:rPr>
  </w:style>
  <w:style w:type="paragraph" w:styleId="Heading6">
    <w:name w:val="heading 6"/>
    <w:basedOn w:val="Normal"/>
    <w:next w:val="Normal"/>
    <w:qFormat/>
    <w:pPr>
      <w:keepNext/>
      <w:tabs>
        <w:tab w:val="left" w:pos="3420"/>
        <w:tab w:val="right" w:pos="8505"/>
      </w:tabs>
      <w:outlineLvl w:val="5"/>
    </w:pPr>
    <w:rPr>
      <w:rFonts w:ascii="Arial" w:hAnsi="Arial"/>
      <w:b/>
      <w:sz w:val="22"/>
    </w:rPr>
  </w:style>
  <w:style w:type="paragraph" w:styleId="Heading7">
    <w:name w:val="heading 7"/>
    <w:basedOn w:val="Normal"/>
    <w:next w:val="Normal"/>
    <w:qFormat/>
    <w:pPr>
      <w:keepNext/>
      <w:ind w:left="720"/>
      <w:jc w:val="right"/>
      <w:outlineLvl w:val="6"/>
    </w:pPr>
    <w:rPr>
      <w:i/>
      <w:iCs/>
    </w:rPr>
  </w:style>
  <w:style w:type="paragraph" w:styleId="Heading8">
    <w:name w:val="heading 8"/>
    <w:basedOn w:val="Normal"/>
    <w:next w:val="Normal"/>
    <w:qFormat/>
    <w:pPr>
      <w:keepNext/>
      <w:jc w:val="center"/>
      <w:outlineLvl w:val="7"/>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Strong">
    <w:name w:val="Strong"/>
    <w:uiPriority w:val="22"/>
    <w:qFormat/>
    <w:rPr>
      <w:b/>
    </w:rPr>
  </w:style>
  <w:style w:type="paragraph" w:styleId="BodyText">
    <w:name w:val="Body Text"/>
    <w:basedOn w:val="Normal"/>
    <w:semiHidden/>
  </w:style>
  <w:style w:type="paragraph" w:styleId="BodyTextIndent">
    <w:name w:val="Body Text Indent"/>
    <w:basedOn w:val="Normal"/>
    <w:semiHidden/>
    <w:pPr>
      <w:ind w:left="720"/>
    </w:pPr>
  </w:style>
  <w:style w:type="character" w:styleId="FollowedHyperlink">
    <w:name w:val="FollowedHyperlink"/>
    <w:semiHidden/>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rFonts w:ascii="Times New Roman" w:hAnsi="Times New Roman"/>
      <w:sz w:val="18"/>
    </w:rPr>
  </w:style>
  <w:style w:type="paragraph" w:styleId="NormalWeb">
    <w:name w:val="Normal (Web)"/>
    <w:basedOn w:val="Normal"/>
    <w:uiPriority w:val="99"/>
    <w:pPr>
      <w:spacing w:before="100" w:beforeAutospacing="1" w:after="100" w:afterAutospacing="1"/>
    </w:pPr>
    <w:rPr>
      <w:rFonts w:ascii="Times New Roman" w:hAnsi="Times New Roman"/>
      <w:szCs w:val="24"/>
      <w:lang w:val="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Courier New" w:hAnsi="Courier New" w:cs="Courier New"/>
      <w:sz w:val="20"/>
      <w:lang w:val="en-US"/>
    </w:rPr>
  </w:style>
  <w:style w:type="paragraph" w:styleId="BodyText3">
    <w:name w:val="Body Text 3"/>
    <w:basedOn w:val="Normal"/>
    <w:semiHidden/>
    <w:pPr>
      <w:spacing w:before="0"/>
    </w:pPr>
    <w:rPr>
      <w:b/>
      <w:bCs/>
    </w:rPr>
  </w:style>
  <w:style w:type="paragraph" w:styleId="BodyTextIndent2">
    <w:name w:val="Body Text Indent 2"/>
    <w:basedOn w:val="Normal"/>
    <w:semiHidden/>
    <w:pPr>
      <w:ind w:left="720"/>
    </w:pPr>
    <w:rPr>
      <w:rFonts w:ascii="Times New Roman" w:hAnsi="Times New Roman"/>
      <w:sz w:val="20"/>
    </w:rPr>
  </w:style>
  <w:style w:type="paragraph" w:styleId="Title">
    <w:name w:val="Title"/>
    <w:basedOn w:val="Normal"/>
    <w:qFormat/>
    <w:pPr>
      <w:spacing w:before="0"/>
      <w:jc w:val="center"/>
    </w:pPr>
    <w:rPr>
      <w:rFonts w:ascii="Times New Roman" w:hAnsi="Times New Roman"/>
      <w:b/>
      <w:bCs/>
      <w:sz w:val="32"/>
      <w:szCs w:val="24"/>
      <w:lang w:val="en-US"/>
    </w:rPr>
  </w:style>
  <w:style w:type="paragraph" w:customStyle="1" w:styleId="Letterhead">
    <w:name w:val="Letterhead"/>
    <w:pPr>
      <w:tabs>
        <w:tab w:val="right" w:pos="7655"/>
      </w:tabs>
    </w:pPr>
    <w:rPr>
      <w:rFonts w:ascii="Helvetica" w:hAnsi="Helvetica"/>
      <w:lang w:eastAsia="en-US"/>
    </w:rPr>
  </w:style>
  <w:style w:type="paragraph" w:customStyle="1" w:styleId="specialbullet">
    <w:name w:val="specialbullet"/>
    <w:basedOn w:val="Title"/>
    <w:pPr>
      <w:numPr>
        <w:numId w:val="12"/>
      </w:numPr>
      <w:spacing w:after="360" w:line="360" w:lineRule="auto"/>
      <w:jc w:val="left"/>
    </w:pPr>
    <w:rPr>
      <w:rFonts w:ascii="Arial" w:hAnsi="Arial" w:cs="Arial"/>
      <w:b w:val="0"/>
      <w:bCs w:val="0"/>
      <w:sz w:val="28"/>
      <w:szCs w:val="20"/>
      <w:lang w:val="en-AU" w:bidi="he-IL"/>
    </w:rPr>
  </w:style>
  <w:style w:type="paragraph" w:customStyle="1" w:styleId="specialsubbullet">
    <w:name w:val="specialsubbullet"/>
    <w:basedOn w:val="specialbullet"/>
    <w:pPr>
      <w:numPr>
        <w:ilvl w:val="1"/>
      </w:numPr>
      <w:tabs>
        <w:tab w:val="clear" w:pos="720"/>
        <w:tab w:val="num" w:pos="360"/>
      </w:tabs>
      <w:ind w:left="360"/>
    </w:pPr>
  </w:style>
  <w:style w:type="character" w:customStyle="1" w:styleId="bodytext0">
    <w:name w:val="bodytext"/>
    <w:basedOn w:val="DefaultParagraphFont"/>
  </w:style>
  <w:style w:type="character" w:customStyle="1" w:styleId="headline">
    <w:name w:val="headline"/>
    <w:rPr>
      <w:b/>
      <w:sz w:val="24"/>
    </w:rPr>
  </w:style>
  <w:style w:type="character" w:customStyle="1" w:styleId="byline">
    <w:name w:val="byline"/>
    <w:basedOn w:val="DefaultParagraphFont"/>
  </w:style>
  <w:style w:type="character" w:customStyle="1" w:styleId="pubtime">
    <w:name w:val="pubtime"/>
    <w:basedOn w:val="DefaultParagraphFont"/>
  </w:style>
  <w:style w:type="character" w:customStyle="1" w:styleId="caption1">
    <w:name w:val="caption1"/>
    <w:basedOn w:val="DefaultParagraphFont"/>
  </w:style>
  <w:style w:type="paragraph" w:styleId="BodyTextIndent3">
    <w:name w:val="Body Text Indent 3"/>
    <w:basedOn w:val="Normal"/>
    <w:semiHidden/>
    <w:pPr>
      <w:ind w:left="142"/>
    </w:pPr>
    <w:rPr>
      <w:rFonts w:ascii="Arial" w:hAnsi="Arial"/>
      <w:sz w:val="20"/>
    </w:rPr>
  </w:style>
  <w:style w:type="character" w:customStyle="1" w:styleId="moz-txt-citetags">
    <w:name w:val="moz-txt-citetags"/>
    <w:basedOn w:val="DefaultParagraphFont"/>
  </w:style>
  <w:style w:type="character" w:customStyle="1" w:styleId="spelle">
    <w:name w:val="spelle"/>
    <w:basedOn w:val="DefaultParagraphFont"/>
  </w:style>
  <w:style w:type="character" w:customStyle="1" w:styleId="grame">
    <w:name w:val="grame"/>
    <w:basedOn w:val="DefaultParagraphFont"/>
  </w:style>
  <w:style w:type="paragraph" w:styleId="E-mailSignature">
    <w:name w:val="E-mail Signature"/>
    <w:basedOn w:val="Normal"/>
    <w:semiHidden/>
    <w:pPr>
      <w:spacing w:before="100" w:beforeAutospacing="1" w:after="100" w:afterAutospacing="1"/>
    </w:pPr>
    <w:rPr>
      <w:rFonts w:ascii="Arial Unicode MS" w:hAnsi="Arial Unicode MS"/>
      <w:szCs w:val="24"/>
      <w:lang w:val="en-US"/>
    </w:rPr>
  </w:style>
  <w:style w:type="paragraph" w:styleId="BalloonText">
    <w:name w:val="Balloon Text"/>
    <w:basedOn w:val="Normal"/>
    <w:link w:val="BalloonTextChar"/>
    <w:uiPriority w:val="99"/>
    <w:semiHidden/>
    <w:unhideWhenUsed/>
    <w:rsid w:val="009E49C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C7"/>
    <w:rPr>
      <w:rFonts w:ascii="Tahoma" w:hAnsi="Tahoma" w:cs="Tahoma"/>
      <w:sz w:val="16"/>
      <w:szCs w:val="16"/>
      <w:lang w:eastAsia="en-US"/>
    </w:rPr>
  </w:style>
  <w:style w:type="paragraph" w:customStyle="1" w:styleId="ParaNumbering">
    <w:name w:val="ParaNumbering"/>
    <w:basedOn w:val="Normal"/>
    <w:uiPriority w:val="99"/>
    <w:rsid w:val="00E77028"/>
    <w:pPr>
      <w:numPr>
        <w:numId w:val="21"/>
      </w:numPr>
      <w:spacing w:before="180" w:after="180" w:line="360" w:lineRule="auto"/>
      <w:jc w:val="both"/>
    </w:pPr>
    <w:rPr>
      <w:rFonts w:ascii="Times New Roman" w:eastAsia="Batang" w:hAnsi="Times New Roman"/>
    </w:rPr>
  </w:style>
  <w:style w:type="character" w:styleId="Emphasis">
    <w:name w:val="Emphasis"/>
    <w:basedOn w:val="DefaultParagraphFont"/>
    <w:uiPriority w:val="20"/>
    <w:qFormat/>
    <w:rsid w:val="00E770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ustlii.edu.au/au/cases/cth/FCA/2011/258.html"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hreoc.gov.au/disability_rights/legislation/2009.htm" TargetMode="External"/><Relationship Id="rId11" Type="http://schemas.openxmlformats.org/officeDocument/2006/relationships/hyperlink" Target="http://www.betterhealth.vic.gov.au/bhcv2/bhcarticles.nsf/pages/Oppositional_defiant_disorder" TargetMode="External"/><Relationship Id="rId12" Type="http://schemas.openxmlformats.org/officeDocument/2006/relationships/hyperlink" Target="http://www.healthinsite.gov.au/topics/Maladaptive_Behaviours_in_Childhood" TargetMode="External"/><Relationship Id="rId13" Type="http://schemas.openxmlformats.org/officeDocument/2006/relationships/hyperlink" Target="http://rightnow.org.au/news-article/walker-vs-state-of-victoria-and-disability-discrimination/" TargetMode="External"/><Relationship Id="rId14" Type="http://schemas.openxmlformats.org/officeDocument/2006/relationships/hyperlink" Target="http://www2.ohchr.org/english/law/crc.htm" TargetMode="External"/><Relationship Id="rId15" Type="http://schemas.openxmlformats.org/officeDocument/2006/relationships/hyperlink" Target="http://www2.ohchr.org/english/law/crc.htm" TargetMode="External"/><Relationship Id="rId16" Type="http://schemas.openxmlformats.org/officeDocument/2006/relationships/hyperlink" Target="http://www.abc.net.au/7.30/content/2011/s3219518.htm" TargetMode="External"/><Relationship Id="rId17" Type="http://schemas.openxmlformats.org/officeDocument/2006/relationships/hyperlink" Target="http://a4.org.au/a4/node/370" TargetMode="External"/><Relationship Id="rId18" Type="http://schemas.openxmlformats.org/officeDocument/2006/relationships/hyperlink" Target="http://a4.org.au/a4/node/279"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McClelland.MP@aph.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http://www.a4.org.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Buckley\AppData\Roaming\Microsoft\Templates\A4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\Users\Bob Buckley\AppData\Roaming\Microsoft\Templates\A4lh.dot</Template>
  <TotalTime>5</TotalTime>
  <Pages>3</Pages>
  <Words>1156</Words>
  <Characters>6594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A4 Update No. 7, 2003</vt:lpstr>
    </vt:vector>
  </TitlesOfParts>
  <Company/>
  <LinksUpToDate>false</LinksUpToDate>
  <CharactersWithSpaces>7735</CharactersWithSpaces>
  <SharedDoc>false</SharedDoc>
  <HLinks>
    <vt:vector size="6" baseType="variant">
      <vt:variant>
        <vt:i4>5046285</vt:i4>
      </vt:variant>
      <vt:variant>
        <vt:i4>0</vt:i4>
      </vt:variant>
      <vt:variant>
        <vt:i4>0</vt:i4>
      </vt:variant>
      <vt:variant>
        <vt:i4>5</vt:i4>
      </vt:variant>
      <vt:variant>
        <vt:lpwstr>http://www.a4.org.au/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Update No. 7, 2003</dc:title>
  <dc:creator>Bob Buckley</dc:creator>
  <cp:lastModifiedBy>Bob Buckley</cp:lastModifiedBy>
  <cp:revision>4</cp:revision>
  <cp:lastPrinted>2003-08-13T03:05:00Z</cp:lastPrinted>
  <dcterms:created xsi:type="dcterms:W3CDTF">2011-06-17T21:31:00Z</dcterms:created>
  <dcterms:modified xsi:type="dcterms:W3CDTF">2011-06-17T22:24:00Z</dcterms:modified>
</cp:coreProperties>
</file>